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超值宝1年92期理财产品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超值宝1年92期理财产品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132,490,000.00份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135,644,584.19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2021年07月27日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户名：贵阳农村商业银行股份有限公司-超值宝1年9</w:t>
            </w:r>
            <w:r>
              <w:rPr>
                <w:rFonts w:ascii="宋体" w:hAnsi="宋体"/>
                <w:color w:val="auto"/>
                <w:szCs w:val="21"/>
                <w:shd w:val="clear" w:color="auto" w:fill="FFFFFF"/>
              </w:rPr>
              <w:t>2期理财产品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51900159610536</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-210,578.23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1,783,898.25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135,644,584.19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1.0238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1.34</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.18</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2.38</w:t>
            </w:r>
            <w:bookmarkStart w:id="7" w:name="OLE_LINK4"/>
            <w:bookmarkEnd w:id="7"/>
            <w:bookmarkStart w:id="8" w:name="OLE_LINK7"/>
            <w:bookmarkEnd w:id="8"/>
          </w:p>
        </w:tc>
        <w:tc>
          <w:tcPr>
            <w:tcW w:w="1843" w:type="dxa"/>
            <w:vAlign w:val="center"/>
          </w:tcPr>
          <w:p>
            <w:pPr>
              <w:jc w:val="right"/>
              <w:rPr>
                <w:rFonts w:ascii="宋体" w:hAnsi="宋体"/>
                <w:color w:val="auto"/>
              </w:rPr>
            </w:pPr>
            <w:r>
              <w:rPr>
                <w:rFonts w:hint="eastAsia" w:ascii="宋体" w:hAnsi="宋体"/>
                <w:color w:val="auto"/>
              </w:rPr>
              <w:t>2</w:t>
            </w:r>
            <w:r>
              <w:rPr>
                <w:rFonts w:ascii="宋体" w:hAnsi="宋体"/>
                <w:color w:val="auto"/>
              </w:rPr>
              <w:t>.03</w:t>
            </w:r>
          </w:p>
        </w:tc>
        <w:tc>
          <w:tcPr>
            <w:tcW w:w="1843" w:type="dxa"/>
            <w:vAlign w:val="center"/>
          </w:tcPr>
          <w:p>
            <w:pPr>
              <w:jc w:val="right"/>
              <w:rPr>
                <w:rFonts w:ascii="宋体" w:hAnsi="宋体"/>
                <w:color w:val="auto"/>
              </w:rPr>
            </w:pPr>
            <w:r>
              <w:rPr>
                <w:rFonts w:hint="eastAsia" w:ascii="宋体" w:hAnsi="宋体"/>
                <w:color w:val="auto"/>
              </w:rPr>
              <w:t>2</w:t>
            </w:r>
            <w:r>
              <w:rPr>
                <w:rFonts w:ascii="宋体" w:hAnsi="宋体"/>
                <w:color w:val="auto"/>
              </w:rPr>
              <w:t>.25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1.34%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81,423,520.69</w:t>
            </w:r>
          </w:p>
        </w:tc>
        <w:tc>
          <w:tcPr>
            <w:tcW w:w="2069" w:type="dxa"/>
            <w:shd w:val="clear" w:color="auto" w:fill="auto"/>
          </w:tcPr>
          <w:p>
            <w:pPr>
              <w:jc w:val="right"/>
              <w:rPr>
                <w:rFonts w:ascii="宋体"/>
                <w:color w:val="auto"/>
                <w:szCs w:val="21"/>
              </w:rPr>
            </w:pPr>
            <w:r>
              <w:rPr>
                <w:color w:val="auto"/>
              </w:rPr>
              <w:t>59.87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方正富邦—贵阳农商行稳健1号集合</w:t>
            </w:r>
          </w:p>
        </w:tc>
        <w:tc>
          <w:tcPr>
            <w:tcW w:w="2066" w:type="dxa"/>
            <w:shd w:val="clear" w:color="auto" w:fill="auto"/>
          </w:tcPr>
          <w:p>
            <w:pPr>
              <w:jc w:val="right"/>
              <w:rPr>
                <w:rFonts w:ascii="宋体"/>
                <w:color w:val="auto"/>
                <w:szCs w:val="21"/>
              </w:rPr>
            </w:pPr>
            <w:r>
              <w:rPr>
                <w:color w:val="auto"/>
              </w:rPr>
              <w:t>33,237,015.81</w:t>
            </w:r>
          </w:p>
        </w:tc>
        <w:tc>
          <w:tcPr>
            <w:tcW w:w="2069" w:type="dxa"/>
            <w:shd w:val="clear" w:color="auto" w:fill="auto"/>
          </w:tcPr>
          <w:p>
            <w:pPr>
              <w:jc w:val="right"/>
              <w:rPr>
                <w:rFonts w:ascii="宋体"/>
                <w:color w:val="auto"/>
                <w:szCs w:val="21"/>
              </w:rPr>
            </w:pPr>
            <w:r>
              <w:rPr>
                <w:color w:val="auto"/>
              </w:rPr>
              <w:t>24.44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南京证券神州盈悦1号集合资产管理</w:t>
            </w:r>
          </w:p>
        </w:tc>
        <w:tc>
          <w:tcPr>
            <w:tcW w:w="2066" w:type="dxa"/>
            <w:shd w:val="clear" w:color="auto" w:fill="auto"/>
          </w:tcPr>
          <w:p>
            <w:pPr>
              <w:jc w:val="right"/>
              <w:rPr>
                <w:rFonts w:ascii="宋体"/>
                <w:color w:val="auto"/>
                <w:szCs w:val="21"/>
              </w:rPr>
            </w:pPr>
            <w:r>
              <w:rPr>
                <w:color w:val="auto"/>
              </w:rPr>
              <w:t>21,340,153.77</w:t>
            </w:r>
          </w:p>
        </w:tc>
        <w:tc>
          <w:tcPr>
            <w:tcW w:w="2069" w:type="dxa"/>
            <w:shd w:val="clear" w:color="auto" w:fill="auto"/>
          </w:tcPr>
          <w:p>
            <w:pPr>
              <w:jc w:val="right"/>
              <w:rPr>
                <w:rFonts w:ascii="宋体"/>
                <w:color w:val="auto"/>
                <w:szCs w:val="21"/>
              </w:rPr>
            </w:pPr>
            <w:r>
              <w:rPr>
                <w:color w:val="auto"/>
              </w:rPr>
              <w:t>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136,000,690.27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1,491.92</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136,000,690.27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0.11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136,002,182.30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115,387,590.82</w:t>
            </w:r>
          </w:p>
        </w:tc>
        <w:tc>
          <w:tcPr>
            <w:tcW w:w="2127" w:type="dxa"/>
            <w:shd w:val="clear" w:color="auto" w:fill="auto"/>
            <w:vAlign w:val="center"/>
          </w:tcPr>
          <w:p>
            <w:pPr>
              <w:jc w:val="right"/>
              <w:rPr>
                <w:rFonts w:ascii="宋体" w:hAnsi="宋体"/>
                <w:color w:val="auto"/>
              </w:rPr>
            </w:pPr>
            <w:r>
              <w:rPr>
                <w:rFonts w:hint="eastAsia" w:ascii="宋体" w:hAnsi="宋体"/>
                <w:color w:val="auto"/>
              </w:rPr>
              <w:t>84.84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114,937,640.66</w:t>
            </w:r>
          </w:p>
        </w:tc>
        <w:tc>
          <w:tcPr>
            <w:tcW w:w="2127" w:type="dxa"/>
            <w:shd w:val="clear" w:color="auto" w:fill="auto"/>
            <w:vAlign w:val="center"/>
          </w:tcPr>
          <w:p>
            <w:pPr>
              <w:jc w:val="right"/>
              <w:rPr>
                <w:rFonts w:ascii="宋体" w:hAnsi="宋体"/>
                <w:color w:val="auto"/>
              </w:rPr>
            </w:pPr>
            <w:r>
              <w:rPr>
                <w:rFonts w:hint="eastAsia" w:ascii="宋体" w:hAnsi="宋体"/>
                <w:color w:val="auto"/>
              </w:rPr>
              <w:t>84.51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449,950.16</w:t>
            </w:r>
          </w:p>
        </w:tc>
        <w:tc>
          <w:tcPr>
            <w:tcW w:w="2127" w:type="dxa"/>
            <w:shd w:val="clear" w:color="auto" w:fill="auto"/>
            <w:vAlign w:val="center"/>
          </w:tcPr>
          <w:p>
            <w:pPr>
              <w:jc w:val="right"/>
              <w:rPr>
                <w:rFonts w:ascii="宋体" w:hAnsi="宋体"/>
                <w:color w:val="auto"/>
              </w:rPr>
            </w:pPr>
            <w:r>
              <w:rPr>
                <w:rFonts w:hint="eastAsia" w:ascii="宋体" w:hAnsi="宋体"/>
                <w:color w:val="auto"/>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16,308,702.31</w:t>
            </w:r>
          </w:p>
        </w:tc>
        <w:tc>
          <w:tcPr>
            <w:tcW w:w="2127" w:type="dxa"/>
            <w:shd w:val="clear" w:color="auto" w:fill="auto"/>
            <w:vAlign w:val="center"/>
          </w:tcPr>
          <w:p>
            <w:pPr>
              <w:jc w:val="right"/>
              <w:rPr>
                <w:rFonts w:ascii="宋体" w:hAnsi="宋体"/>
                <w:color w:val="auto"/>
              </w:rPr>
            </w:pPr>
            <w:r>
              <w:rPr>
                <w:rFonts w:hint="eastAsia" w:ascii="宋体" w:hAnsi="宋体"/>
                <w:color w:val="auto"/>
              </w:rPr>
              <w:t>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756,292.15</w:t>
            </w:r>
          </w:p>
        </w:tc>
        <w:tc>
          <w:tcPr>
            <w:tcW w:w="2127" w:type="dxa"/>
            <w:shd w:val="clear" w:color="auto" w:fill="auto"/>
            <w:vAlign w:val="center"/>
          </w:tcPr>
          <w:p>
            <w:pPr>
              <w:jc w:val="right"/>
              <w:rPr>
                <w:rFonts w:ascii="宋体" w:hAnsi="宋体"/>
                <w:color w:val="auto"/>
              </w:rPr>
            </w:pPr>
            <w:r>
              <w:rPr>
                <w:rFonts w:hint="eastAsia" w:ascii="宋体" w:hAnsi="宋体"/>
                <w:color w:val="auto"/>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6,516,064.77</w:t>
            </w:r>
          </w:p>
        </w:tc>
        <w:tc>
          <w:tcPr>
            <w:tcW w:w="2127" w:type="dxa"/>
            <w:shd w:val="clear" w:color="auto" w:fill="auto"/>
            <w:vAlign w:val="center"/>
          </w:tcPr>
          <w:p>
            <w:pPr>
              <w:jc w:val="right"/>
              <w:rPr>
                <w:rFonts w:ascii="宋体" w:hAnsi="宋体"/>
                <w:color w:val="auto"/>
              </w:rPr>
            </w:pPr>
            <w:r>
              <w:rPr>
                <w:rFonts w:hint="eastAsia" w:ascii="宋体" w:hAnsi="宋体"/>
                <w:color w:val="auto"/>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138,968,650.05</w:t>
            </w:r>
          </w:p>
        </w:tc>
        <w:tc>
          <w:tcPr>
            <w:tcW w:w="2127" w:type="dxa"/>
            <w:shd w:val="clear" w:color="auto" w:fill="auto"/>
          </w:tcPr>
          <w:p>
            <w:pPr>
              <w:jc w:val="right"/>
              <w:rPr>
                <w:rFonts w:ascii="宋体" w:hAnsi="宋体"/>
                <w:color w:val="auto"/>
              </w:rPr>
            </w:pPr>
            <w:r>
              <w:rPr>
                <w:rFonts w:hint="eastAsia" w:ascii="宋体" w:hAnsi="宋体"/>
                <w:color w:val="auto"/>
              </w:rPr>
              <w:t>102.18</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7,574,473.01</w:t>
            </w:r>
          </w:p>
        </w:tc>
        <w:tc>
          <w:tcPr>
            <w:tcW w:w="2113" w:type="dxa"/>
            <w:shd w:val="clear" w:color="auto" w:fill="auto"/>
          </w:tcPr>
          <w:p>
            <w:pPr>
              <w:jc w:val="right"/>
              <w:rPr>
                <w:rFonts w:ascii="宋体"/>
                <w:color w:val="auto"/>
                <w:szCs w:val="21"/>
              </w:rPr>
            </w:pPr>
            <w:r>
              <w:rPr>
                <w:color w:val="auto"/>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6,234,846.62</w:t>
            </w:r>
          </w:p>
        </w:tc>
        <w:tc>
          <w:tcPr>
            <w:tcW w:w="2113" w:type="dxa"/>
            <w:shd w:val="clear" w:color="auto" w:fill="auto"/>
          </w:tcPr>
          <w:p>
            <w:pPr>
              <w:jc w:val="right"/>
              <w:rPr>
                <w:rFonts w:ascii="宋体"/>
                <w:color w:val="auto"/>
                <w:szCs w:val="21"/>
              </w:rPr>
            </w:pPr>
            <w:r>
              <w:rPr>
                <w:color w:val="auto"/>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3,763,127.37</w:t>
            </w:r>
          </w:p>
        </w:tc>
        <w:tc>
          <w:tcPr>
            <w:tcW w:w="2113" w:type="dxa"/>
            <w:shd w:val="clear" w:color="auto" w:fill="auto"/>
          </w:tcPr>
          <w:p>
            <w:pPr>
              <w:jc w:val="right"/>
              <w:rPr>
                <w:rFonts w:ascii="宋体"/>
                <w:color w:val="auto"/>
                <w:szCs w:val="21"/>
              </w:rPr>
            </w:pPr>
            <w:r>
              <w:rPr>
                <w:color w:val="auto"/>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3,558,931.10</w:t>
            </w:r>
          </w:p>
        </w:tc>
        <w:tc>
          <w:tcPr>
            <w:tcW w:w="2113" w:type="dxa"/>
            <w:shd w:val="clear" w:color="auto" w:fill="auto"/>
          </w:tcPr>
          <w:p>
            <w:pPr>
              <w:jc w:val="right"/>
              <w:rPr>
                <w:rFonts w:ascii="宋体"/>
                <w:color w:val="auto"/>
                <w:szCs w:val="21"/>
              </w:rPr>
            </w:pPr>
            <w:r>
              <w:rPr>
                <w:color w:val="auto"/>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3,175,156.79</w:t>
            </w:r>
          </w:p>
        </w:tc>
        <w:tc>
          <w:tcPr>
            <w:tcW w:w="2113" w:type="dxa"/>
            <w:shd w:val="clear" w:color="auto" w:fill="auto"/>
          </w:tcPr>
          <w:p>
            <w:pPr>
              <w:jc w:val="right"/>
              <w:rPr>
                <w:rFonts w:ascii="宋体"/>
                <w:color w:val="auto"/>
                <w:szCs w:val="21"/>
              </w:rPr>
            </w:pPr>
            <w:r>
              <w:rPr>
                <w:color w:val="auto"/>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2,841,781.35</w:t>
            </w:r>
          </w:p>
        </w:tc>
        <w:tc>
          <w:tcPr>
            <w:tcW w:w="2113" w:type="dxa"/>
            <w:shd w:val="clear" w:color="auto" w:fill="auto"/>
          </w:tcPr>
          <w:p>
            <w:pPr>
              <w:jc w:val="right"/>
              <w:rPr>
                <w:rFonts w:ascii="宋体"/>
                <w:color w:val="auto"/>
                <w:szCs w:val="21"/>
              </w:rPr>
            </w:pPr>
            <w:r>
              <w:rPr>
                <w:color w:val="auto"/>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2,797,611.85</w:t>
            </w:r>
          </w:p>
        </w:tc>
        <w:tc>
          <w:tcPr>
            <w:tcW w:w="2113" w:type="dxa"/>
            <w:shd w:val="clear" w:color="auto" w:fill="auto"/>
          </w:tcPr>
          <w:p>
            <w:pPr>
              <w:jc w:val="right"/>
              <w:rPr>
                <w:rFonts w:ascii="宋体"/>
                <w:color w:val="auto"/>
                <w:szCs w:val="21"/>
              </w:rPr>
            </w:pPr>
            <w:r>
              <w:rPr>
                <w:color w:val="auto"/>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2,741,052.75</w:t>
            </w:r>
          </w:p>
        </w:tc>
        <w:tc>
          <w:tcPr>
            <w:tcW w:w="2113" w:type="dxa"/>
            <w:shd w:val="clear" w:color="auto" w:fill="auto"/>
          </w:tcPr>
          <w:p>
            <w:pPr>
              <w:jc w:val="right"/>
              <w:rPr>
                <w:rFonts w:ascii="宋体"/>
                <w:color w:val="auto"/>
                <w:szCs w:val="21"/>
              </w:rPr>
            </w:pPr>
            <w:r>
              <w:rPr>
                <w:color w:val="auto"/>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2,496,649.72</w:t>
            </w:r>
          </w:p>
        </w:tc>
        <w:tc>
          <w:tcPr>
            <w:tcW w:w="2113" w:type="dxa"/>
            <w:shd w:val="clear" w:color="auto" w:fill="auto"/>
          </w:tcPr>
          <w:p>
            <w:pPr>
              <w:jc w:val="right"/>
              <w:rPr>
                <w:rFonts w:ascii="宋体"/>
                <w:color w:val="auto"/>
                <w:szCs w:val="21"/>
              </w:rPr>
            </w:pPr>
            <w:r>
              <w:rPr>
                <w:color w:val="auto"/>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GC007</w:t>
            </w:r>
          </w:p>
        </w:tc>
        <w:tc>
          <w:tcPr>
            <w:tcW w:w="2138" w:type="dxa"/>
            <w:shd w:val="clear" w:color="auto" w:fill="auto"/>
          </w:tcPr>
          <w:p>
            <w:pPr>
              <w:jc w:val="right"/>
              <w:rPr>
                <w:rFonts w:ascii="宋体"/>
                <w:color w:val="auto"/>
                <w:szCs w:val="21"/>
              </w:rPr>
            </w:pPr>
            <w:r>
              <w:rPr>
                <w:color w:val="auto"/>
              </w:rPr>
              <w:t>2,436,267.22</w:t>
            </w:r>
          </w:p>
        </w:tc>
        <w:tc>
          <w:tcPr>
            <w:tcW w:w="2113" w:type="dxa"/>
            <w:shd w:val="clear" w:color="auto" w:fill="auto"/>
          </w:tcPr>
          <w:p>
            <w:pPr>
              <w:jc w:val="right"/>
              <w:rPr>
                <w:rFonts w:ascii="宋体"/>
                <w:color w:val="auto"/>
                <w:szCs w:val="21"/>
              </w:rPr>
            </w:pPr>
            <w:r>
              <w:rPr>
                <w:color w:val="auto"/>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37,619,897.78</w:t>
            </w:r>
          </w:p>
        </w:tc>
        <w:tc>
          <w:tcPr>
            <w:tcW w:w="2113" w:type="dxa"/>
            <w:shd w:val="clear" w:color="auto" w:fill="auto"/>
          </w:tcPr>
          <w:p>
            <w:pPr>
              <w:jc w:val="right"/>
              <w:rPr>
                <w:rFonts w:ascii="宋体"/>
                <w:color w:val="auto"/>
                <w:szCs w:val="21"/>
              </w:rPr>
            </w:pPr>
            <w:r>
              <w:rPr>
                <w:color w:val="auto"/>
              </w:rPr>
              <w:t>27.66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64F23C2-9681-459D-9E9B-10BA6E7AA4BD}"/>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4A19BCA9-0A12-4263-BD93-18B0ED3C80F2}"/>
  </w:font>
  <w:font w:name="微软雅黑">
    <w:panose1 w:val="020B0503020204020204"/>
    <w:charset w:val="86"/>
    <w:family w:val="swiss"/>
    <w:pitch w:val="default"/>
    <w:sig w:usb0="80000287" w:usb1="2ACF3C50" w:usb2="00000016" w:usb3="00000000" w:csb0="0004001F" w:csb1="00000000"/>
    <w:embedRegular r:id="rId3" w:fontKey="{57BE0AD1-685F-4DC7-A017-244AFEF37D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O19zicuJK2Zwc0wPziTKMV8D1Ds=" w:salt="N0jhYBwFSl2lCIP2Jr9XC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47B10"/>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55BF"/>
    <w:rsid w:val="002173B4"/>
    <w:rsid w:val="002173D7"/>
    <w:rsid w:val="002271D8"/>
    <w:rsid w:val="002339B0"/>
    <w:rsid w:val="00237338"/>
    <w:rsid w:val="002406B1"/>
    <w:rsid w:val="00243739"/>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4F64E7"/>
    <w:rsid w:val="005006CE"/>
    <w:rsid w:val="0050305E"/>
    <w:rsid w:val="005030C6"/>
    <w:rsid w:val="00531FE9"/>
    <w:rsid w:val="00553420"/>
    <w:rsid w:val="00571FC5"/>
    <w:rsid w:val="00581537"/>
    <w:rsid w:val="00587297"/>
    <w:rsid w:val="005A3474"/>
    <w:rsid w:val="005C161C"/>
    <w:rsid w:val="005C41F7"/>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45CB4"/>
    <w:rsid w:val="00C6693D"/>
    <w:rsid w:val="00C723E7"/>
    <w:rsid w:val="00C97FFD"/>
    <w:rsid w:val="00CA12EC"/>
    <w:rsid w:val="00CA43AB"/>
    <w:rsid w:val="00CC3B52"/>
    <w:rsid w:val="00CE0966"/>
    <w:rsid w:val="00D14180"/>
    <w:rsid w:val="00D279D1"/>
    <w:rsid w:val="00D5704E"/>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BF41C2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756FE-CFE8-4F8C-BB45-E11A933FDD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712</Words>
  <Characters>4065</Characters>
  <Lines>33</Lines>
  <Paragraphs>9</Paragraphs>
  <TotalTime>263</TotalTime>
  <ScaleCrop>false</ScaleCrop>
  <LinksUpToDate>false</LinksUpToDate>
  <CharactersWithSpaces>4768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2022-02-10T09:24:17Z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BE8195F3634E4DC891E011E73A4FB602</vt:lpwstr>
  </property>
</Properties>
</file>