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超值宝1年92期理财产品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本报告期自2021年07月27日</w:t>
      </w:r>
      <w:bookmarkStart w:id="3" w:name="OLE_LINK6"/>
      <w:bookmarkEnd w:id="3"/>
      <w:bookmarkStart w:id="4" w:name="OLE_LINK5"/>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超值宝1年92期理财产品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132,490,000.00份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135,644,584.19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2021年07月27日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2022年07月27日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户名：贵阳农村商业银行股份有限公司-超值宝1年9</w:t>
            </w:r>
            <w:r>
              <w:rPr>
                <w:rFonts w:ascii="宋体" w:hAnsi="宋体"/>
                <w:color w:val="FF0000"/>
                <w:szCs w:val="21"/>
                <w:shd w:val="clear" w:color="auto" w:fill="FFFFFF"/>
              </w:rPr>
              <w:t>2期理财产品</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账号：8</w:t>
            </w:r>
            <w:r>
              <w:rPr>
                <w:rFonts w:ascii="宋体" w:hAnsi="宋体"/>
                <w:color w:val="FF0000"/>
                <w:szCs w:val="21"/>
                <w:shd w:val="clear" w:color="auto" w:fill="FFFFFF"/>
              </w:rPr>
              <w:t>51900159610536</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2021年07月27日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-306,106.08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3,154,584.19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135,644,584.19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1.0238</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2021年07月27日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2.38</w:t>
            </w:r>
          </w:p>
        </w:tc>
        <w:tc>
          <w:tcPr>
            <w:tcW w:w="1843" w:type="dxa"/>
            <w:vAlign w:val="center"/>
          </w:tcPr>
          <w:p>
            <w:pPr>
              <w:jc w:val="right"/>
              <w:rPr>
                <w:rFonts w:ascii="宋体" w:hAnsi="宋体"/>
                <w:color w:val="FF0000"/>
              </w:rPr>
            </w:pPr>
            <w:r>
              <w:rPr>
                <w:rFonts w:hint="eastAsia" w:ascii="宋体" w:hAnsi="宋体"/>
              </w:rPr>
              <w:t>2</w:t>
            </w:r>
            <w:r>
              <w:rPr>
                <w:rFonts w:ascii="宋体" w:hAnsi="宋体"/>
              </w:rPr>
              <w:t>.03</w:t>
            </w:r>
          </w:p>
        </w:tc>
        <w:tc>
          <w:tcPr>
            <w:tcW w:w="1843" w:type="dxa"/>
            <w:vAlign w:val="center"/>
          </w:tcPr>
          <w:p>
            <w:pPr>
              <w:jc w:val="right"/>
              <w:rPr>
                <w:rFonts w:ascii="宋体" w:hAnsi="宋体"/>
                <w:color w:val="FF0000"/>
              </w:rPr>
            </w:pPr>
            <w:r>
              <w:rPr>
                <w:rFonts w:hint="eastAsia" w:ascii="宋体" w:hAnsi="宋体"/>
              </w:rPr>
              <w:t>2</w:t>
            </w:r>
            <w:r>
              <w:rPr>
                <w:rFonts w:ascii="宋体" w:hAnsi="宋体"/>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2.38</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2</w:t>
            </w:r>
            <w:r>
              <w:rPr>
                <w:rFonts w:ascii="宋体" w:hAnsi="宋体"/>
              </w:rPr>
              <w:t>.03</w:t>
            </w:r>
          </w:p>
        </w:tc>
        <w:tc>
          <w:tcPr>
            <w:tcW w:w="1843" w:type="dxa"/>
            <w:vAlign w:val="center"/>
          </w:tcPr>
          <w:p>
            <w:pPr>
              <w:jc w:val="right"/>
              <w:rPr>
                <w:rFonts w:ascii="宋体" w:hAnsi="宋体"/>
                <w:color w:val="FF0000"/>
              </w:rPr>
            </w:pPr>
            <w:r>
              <w:rPr>
                <w:rFonts w:hint="eastAsia" w:ascii="宋体" w:hAnsi="宋体"/>
              </w:rPr>
              <w:t>2</w:t>
            </w:r>
            <w:r>
              <w:rPr>
                <w:rFonts w:ascii="宋体" w:hAnsi="宋体"/>
              </w:rPr>
              <w:t>.25</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2.38%</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81,423,520.69</w:t>
            </w:r>
          </w:p>
        </w:tc>
        <w:tc>
          <w:tcPr>
            <w:tcW w:w="2069" w:type="dxa"/>
            <w:shd w:val="clear" w:color="auto" w:fill="auto"/>
          </w:tcPr>
          <w:p>
            <w:pPr>
              <w:jc w:val="right"/>
              <w:rPr>
                <w:rFonts w:ascii="宋体"/>
                <w:szCs w:val="21"/>
              </w:rPr>
            </w:pPr>
            <w:r>
              <w:t>59.87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方正富邦—贵阳农商行稳健1号集合</w:t>
            </w:r>
          </w:p>
        </w:tc>
        <w:tc>
          <w:tcPr>
            <w:tcW w:w="2066" w:type="dxa"/>
            <w:shd w:val="clear" w:color="auto" w:fill="auto"/>
          </w:tcPr>
          <w:p>
            <w:pPr>
              <w:jc w:val="right"/>
              <w:rPr>
                <w:rFonts w:ascii="宋体"/>
                <w:szCs w:val="21"/>
              </w:rPr>
            </w:pPr>
            <w:r>
              <w:t>33,237,015.81</w:t>
            </w:r>
          </w:p>
        </w:tc>
        <w:tc>
          <w:tcPr>
            <w:tcW w:w="2069" w:type="dxa"/>
            <w:shd w:val="clear" w:color="auto" w:fill="auto"/>
          </w:tcPr>
          <w:p>
            <w:pPr>
              <w:jc w:val="right"/>
              <w:rPr>
                <w:rFonts w:ascii="宋体"/>
                <w:szCs w:val="21"/>
              </w:rPr>
            </w:pPr>
            <w:r>
              <w:t>24.44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3</w:t>
            </w:r>
          </w:p>
        </w:tc>
        <w:tc>
          <w:tcPr>
            <w:tcW w:w="4179" w:type="dxa"/>
            <w:shd w:val="clear" w:color="auto" w:fill="auto"/>
          </w:tcPr>
          <w:p>
            <w:pPr>
              <w:jc w:val="left"/>
              <w:rPr>
                <w:rFonts w:ascii="宋体"/>
                <w:szCs w:val="21"/>
              </w:rPr>
            </w:pPr>
            <w:r>
              <w:t>南京证券神州盈悦1号集合资产管理</w:t>
            </w:r>
          </w:p>
        </w:tc>
        <w:tc>
          <w:tcPr>
            <w:tcW w:w="2066" w:type="dxa"/>
            <w:shd w:val="clear" w:color="auto" w:fill="auto"/>
          </w:tcPr>
          <w:p>
            <w:pPr>
              <w:jc w:val="right"/>
              <w:rPr>
                <w:rFonts w:ascii="宋体"/>
                <w:szCs w:val="21"/>
              </w:rPr>
            </w:pPr>
            <w:r>
              <w:t>21,340,153.77</w:t>
            </w:r>
          </w:p>
        </w:tc>
        <w:tc>
          <w:tcPr>
            <w:tcW w:w="2069" w:type="dxa"/>
            <w:shd w:val="clear" w:color="auto" w:fill="auto"/>
          </w:tcPr>
          <w:p>
            <w:pPr>
              <w:jc w:val="right"/>
              <w:rPr>
                <w:rFonts w:ascii="宋体"/>
                <w:szCs w:val="21"/>
              </w:rPr>
            </w:pPr>
            <w:r>
              <w:t>15.69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136,000,690.27</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1,491.92</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136,000,690.27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0.11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136,002,182.30</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115,387,590.82</w:t>
            </w:r>
          </w:p>
        </w:tc>
        <w:tc>
          <w:tcPr>
            <w:tcW w:w="2127" w:type="dxa"/>
            <w:shd w:val="clear" w:color="auto" w:fill="auto"/>
            <w:vAlign w:val="center"/>
          </w:tcPr>
          <w:p>
            <w:pPr>
              <w:jc w:val="right"/>
              <w:rPr>
                <w:rFonts w:ascii="宋体" w:hAnsi="宋体"/>
              </w:rPr>
            </w:pPr>
            <w:r>
              <w:rPr>
                <w:rFonts w:hint="eastAsia" w:ascii="宋体" w:hAnsi="宋体"/>
              </w:rPr>
              <w:t>84.84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114,937,640.66</w:t>
            </w:r>
          </w:p>
        </w:tc>
        <w:tc>
          <w:tcPr>
            <w:tcW w:w="2127" w:type="dxa"/>
            <w:shd w:val="clear" w:color="auto" w:fill="auto"/>
            <w:vAlign w:val="center"/>
          </w:tcPr>
          <w:p>
            <w:pPr>
              <w:jc w:val="right"/>
              <w:rPr>
                <w:rFonts w:ascii="宋体" w:hAnsi="宋体"/>
              </w:rPr>
            </w:pPr>
            <w:r>
              <w:rPr>
                <w:rFonts w:hint="eastAsia" w:ascii="宋体" w:hAnsi="宋体"/>
              </w:rPr>
              <w:t>84.51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449,950.16</w:t>
            </w:r>
          </w:p>
        </w:tc>
        <w:tc>
          <w:tcPr>
            <w:tcW w:w="2127" w:type="dxa"/>
            <w:shd w:val="clear" w:color="auto" w:fill="auto"/>
            <w:vAlign w:val="center"/>
          </w:tcPr>
          <w:p>
            <w:pPr>
              <w:jc w:val="right"/>
              <w:rPr>
                <w:rFonts w:ascii="宋体" w:hAnsi="宋体"/>
              </w:rPr>
            </w:pPr>
            <w:r>
              <w:rPr>
                <w:rFonts w:hint="eastAsia" w:ascii="宋体" w:hAnsi="宋体"/>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16,308,702.31</w:t>
            </w:r>
          </w:p>
        </w:tc>
        <w:tc>
          <w:tcPr>
            <w:tcW w:w="2127" w:type="dxa"/>
            <w:shd w:val="clear" w:color="auto" w:fill="auto"/>
            <w:vAlign w:val="center"/>
          </w:tcPr>
          <w:p>
            <w:pPr>
              <w:jc w:val="right"/>
              <w:rPr>
                <w:rFonts w:ascii="宋体" w:hAnsi="宋体"/>
              </w:rPr>
            </w:pPr>
            <w:r>
              <w:rPr>
                <w:rFonts w:hint="eastAsia" w:ascii="宋体" w:hAnsi="宋体"/>
              </w:rPr>
              <w:t>11.99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756,292.15</w:t>
            </w:r>
          </w:p>
        </w:tc>
        <w:tc>
          <w:tcPr>
            <w:tcW w:w="2127" w:type="dxa"/>
            <w:shd w:val="clear" w:color="auto" w:fill="auto"/>
            <w:vAlign w:val="center"/>
          </w:tcPr>
          <w:p>
            <w:pPr>
              <w:jc w:val="right"/>
              <w:rPr>
                <w:rFonts w:ascii="宋体" w:hAnsi="宋体"/>
              </w:rPr>
            </w:pPr>
            <w:r>
              <w:rPr>
                <w:rFonts w:hint="eastAsia" w:ascii="宋体" w:hAnsi="宋体"/>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6,516,064.77</w:t>
            </w:r>
          </w:p>
        </w:tc>
        <w:tc>
          <w:tcPr>
            <w:tcW w:w="2127" w:type="dxa"/>
            <w:shd w:val="clear" w:color="auto" w:fill="auto"/>
            <w:vAlign w:val="center"/>
          </w:tcPr>
          <w:p>
            <w:pPr>
              <w:jc w:val="right"/>
              <w:rPr>
                <w:rFonts w:ascii="宋体" w:hAnsi="宋体"/>
              </w:rPr>
            </w:pPr>
            <w:r>
              <w:rPr>
                <w:rFonts w:hint="eastAsia" w:ascii="宋体" w:hAnsi="宋体"/>
              </w:rPr>
              <w:t>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138,968,650.05</w:t>
            </w:r>
          </w:p>
        </w:tc>
        <w:tc>
          <w:tcPr>
            <w:tcW w:w="2127" w:type="dxa"/>
            <w:shd w:val="clear" w:color="auto" w:fill="auto"/>
          </w:tcPr>
          <w:p>
            <w:pPr>
              <w:jc w:val="right"/>
              <w:rPr>
                <w:rFonts w:ascii="宋体" w:hAnsi="宋体"/>
              </w:rPr>
            </w:pPr>
            <w:r>
              <w:rPr>
                <w:rFonts w:hint="eastAsia" w:ascii="宋体" w:hAnsi="宋体"/>
              </w:rPr>
              <w:t>102.18</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R007</w:t>
            </w:r>
          </w:p>
        </w:tc>
        <w:tc>
          <w:tcPr>
            <w:tcW w:w="2138" w:type="dxa"/>
            <w:shd w:val="clear" w:color="auto" w:fill="auto"/>
          </w:tcPr>
          <w:p>
            <w:pPr>
              <w:jc w:val="right"/>
              <w:rPr>
                <w:rFonts w:ascii="宋体"/>
                <w:szCs w:val="21"/>
              </w:rPr>
            </w:pPr>
            <w:r>
              <w:t>7,574,473.01</w:t>
            </w:r>
          </w:p>
        </w:tc>
        <w:tc>
          <w:tcPr>
            <w:tcW w:w="2113" w:type="dxa"/>
            <w:shd w:val="clear" w:color="auto" w:fill="auto"/>
          </w:tcPr>
          <w:p>
            <w:pPr>
              <w:jc w:val="right"/>
              <w:rPr>
                <w:rFonts w:ascii="宋体"/>
                <w:szCs w:val="21"/>
              </w:rPr>
            </w:pPr>
            <w:r>
              <w:t>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6,234,846.62</w:t>
            </w:r>
          </w:p>
        </w:tc>
        <w:tc>
          <w:tcPr>
            <w:tcW w:w="2113" w:type="dxa"/>
            <w:shd w:val="clear" w:color="auto" w:fill="auto"/>
          </w:tcPr>
          <w:p>
            <w:pPr>
              <w:jc w:val="right"/>
              <w:rPr>
                <w:rFonts w:ascii="宋体"/>
                <w:szCs w:val="21"/>
              </w:rPr>
            </w:pPr>
            <w:r>
              <w:t>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20黔西南</w:t>
            </w:r>
          </w:p>
        </w:tc>
        <w:tc>
          <w:tcPr>
            <w:tcW w:w="2138" w:type="dxa"/>
            <w:shd w:val="clear" w:color="auto" w:fill="auto"/>
          </w:tcPr>
          <w:p>
            <w:pPr>
              <w:jc w:val="right"/>
              <w:rPr>
                <w:rFonts w:ascii="宋体"/>
                <w:szCs w:val="21"/>
              </w:rPr>
            </w:pPr>
            <w:r>
              <w:t>3,763,127.37</w:t>
            </w:r>
          </w:p>
        </w:tc>
        <w:tc>
          <w:tcPr>
            <w:tcW w:w="2113" w:type="dxa"/>
            <w:shd w:val="clear" w:color="auto" w:fill="auto"/>
          </w:tcPr>
          <w:p>
            <w:pPr>
              <w:jc w:val="right"/>
              <w:rPr>
                <w:rFonts w:ascii="宋体"/>
                <w:szCs w:val="21"/>
              </w:rPr>
            </w:pPr>
            <w: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3,558,931.10</w:t>
            </w:r>
          </w:p>
        </w:tc>
        <w:tc>
          <w:tcPr>
            <w:tcW w:w="2113" w:type="dxa"/>
            <w:shd w:val="clear" w:color="auto" w:fill="auto"/>
          </w:tcPr>
          <w:p>
            <w:pPr>
              <w:jc w:val="right"/>
              <w:rPr>
                <w:rFonts w:ascii="宋体"/>
                <w:szCs w:val="21"/>
              </w:rPr>
            </w:pPr>
            <w: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21安工01</w:t>
            </w:r>
          </w:p>
        </w:tc>
        <w:tc>
          <w:tcPr>
            <w:tcW w:w="2138" w:type="dxa"/>
            <w:shd w:val="clear" w:color="auto" w:fill="auto"/>
          </w:tcPr>
          <w:p>
            <w:pPr>
              <w:jc w:val="right"/>
              <w:rPr>
                <w:rFonts w:ascii="宋体"/>
                <w:szCs w:val="21"/>
              </w:rPr>
            </w:pPr>
            <w:r>
              <w:t>3,175,156.79</w:t>
            </w:r>
          </w:p>
        </w:tc>
        <w:tc>
          <w:tcPr>
            <w:tcW w:w="2113" w:type="dxa"/>
            <w:shd w:val="clear" w:color="auto" w:fill="auto"/>
          </w:tcPr>
          <w:p>
            <w:pPr>
              <w:jc w:val="right"/>
              <w:rPr>
                <w:rFonts w:ascii="宋体"/>
                <w:szCs w:val="21"/>
              </w:rPr>
            </w:pPr>
            <w: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2,841,781.35</w:t>
            </w:r>
          </w:p>
        </w:tc>
        <w:tc>
          <w:tcPr>
            <w:tcW w:w="2113" w:type="dxa"/>
            <w:shd w:val="clear" w:color="auto" w:fill="auto"/>
          </w:tcPr>
          <w:p>
            <w:pPr>
              <w:jc w:val="right"/>
              <w:rPr>
                <w:rFonts w:ascii="宋体"/>
                <w:szCs w:val="21"/>
              </w:rPr>
            </w:pPr>
            <w: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2,797,611.85</w:t>
            </w:r>
          </w:p>
        </w:tc>
        <w:tc>
          <w:tcPr>
            <w:tcW w:w="2113" w:type="dxa"/>
            <w:shd w:val="clear" w:color="auto" w:fill="auto"/>
          </w:tcPr>
          <w:p>
            <w:pPr>
              <w:jc w:val="right"/>
              <w:rPr>
                <w:rFonts w:ascii="宋体"/>
                <w:szCs w:val="21"/>
              </w:rPr>
            </w:pPr>
            <w: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2,741,052.75</w:t>
            </w:r>
          </w:p>
        </w:tc>
        <w:tc>
          <w:tcPr>
            <w:tcW w:w="2113" w:type="dxa"/>
            <w:shd w:val="clear" w:color="auto" w:fill="auto"/>
          </w:tcPr>
          <w:p>
            <w:pPr>
              <w:jc w:val="right"/>
              <w:rPr>
                <w:rFonts w:ascii="宋体"/>
                <w:szCs w:val="21"/>
              </w:rPr>
            </w:pPr>
            <w: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21安投01</w:t>
            </w:r>
          </w:p>
        </w:tc>
        <w:tc>
          <w:tcPr>
            <w:tcW w:w="2138" w:type="dxa"/>
            <w:shd w:val="clear" w:color="auto" w:fill="auto"/>
          </w:tcPr>
          <w:p>
            <w:pPr>
              <w:jc w:val="right"/>
              <w:rPr>
                <w:rFonts w:ascii="宋体"/>
                <w:szCs w:val="21"/>
              </w:rPr>
            </w:pPr>
            <w:r>
              <w:t>2,496,649.72</w:t>
            </w:r>
          </w:p>
        </w:tc>
        <w:tc>
          <w:tcPr>
            <w:tcW w:w="2113" w:type="dxa"/>
            <w:shd w:val="clear" w:color="auto" w:fill="auto"/>
          </w:tcPr>
          <w:p>
            <w:pPr>
              <w:jc w:val="right"/>
              <w:rPr>
                <w:rFonts w:ascii="宋体"/>
                <w:szCs w:val="21"/>
              </w:rPr>
            </w:pPr>
            <w: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GC007</w:t>
            </w:r>
          </w:p>
        </w:tc>
        <w:tc>
          <w:tcPr>
            <w:tcW w:w="2138" w:type="dxa"/>
            <w:shd w:val="clear" w:color="auto" w:fill="auto"/>
          </w:tcPr>
          <w:p>
            <w:pPr>
              <w:jc w:val="right"/>
              <w:rPr>
                <w:rFonts w:ascii="宋体"/>
                <w:szCs w:val="21"/>
              </w:rPr>
            </w:pPr>
            <w:r>
              <w:t>2,436,267.22</w:t>
            </w:r>
          </w:p>
        </w:tc>
        <w:tc>
          <w:tcPr>
            <w:tcW w:w="2113" w:type="dxa"/>
            <w:shd w:val="clear" w:color="auto" w:fill="auto"/>
          </w:tcPr>
          <w:p>
            <w:pPr>
              <w:jc w:val="right"/>
              <w:rPr>
                <w:rFonts w:ascii="宋体"/>
                <w:szCs w:val="21"/>
              </w:rPr>
            </w:pPr>
            <w: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37,619,897.78</w:t>
            </w:r>
          </w:p>
        </w:tc>
        <w:tc>
          <w:tcPr>
            <w:tcW w:w="2113" w:type="dxa"/>
            <w:shd w:val="clear" w:color="auto" w:fill="auto"/>
          </w:tcPr>
          <w:p>
            <w:pPr>
              <w:jc w:val="right"/>
              <w:rPr>
                <w:rFonts w:ascii="宋体"/>
                <w:szCs w:val="21"/>
              </w:rPr>
            </w:pPr>
            <w:r>
              <w:t>27.66</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IF8hrg7nX2TjAT1chLwAOCv6Pyw=" w:salt="dyQosQyHKbe5z4mEmhBZZ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620B2"/>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17B36"/>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7C4"/>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00D57"/>
    <w:rsid w:val="00C104F2"/>
    <w:rsid w:val="00C20261"/>
    <w:rsid w:val="00C27DAA"/>
    <w:rsid w:val="00C418EC"/>
    <w:rsid w:val="00C45660"/>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152EA"/>
    <w:rsid w:val="00E27134"/>
    <w:rsid w:val="00E406D9"/>
    <w:rsid w:val="00E41A55"/>
    <w:rsid w:val="00E4232D"/>
    <w:rsid w:val="00E47D15"/>
    <w:rsid w:val="00E54AC0"/>
    <w:rsid w:val="00E64F2B"/>
    <w:rsid w:val="00E67BA7"/>
    <w:rsid w:val="00E80493"/>
    <w:rsid w:val="00ED09B9"/>
    <w:rsid w:val="00EF6952"/>
    <w:rsid w:val="00F00CEE"/>
    <w:rsid w:val="00F0246D"/>
    <w:rsid w:val="00F102BC"/>
    <w:rsid w:val="00F33553"/>
    <w:rsid w:val="00F41A65"/>
    <w:rsid w:val="00F41C91"/>
    <w:rsid w:val="00F85C1D"/>
    <w:rsid w:val="00FA3ABD"/>
    <w:rsid w:val="00FB3B64"/>
    <w:rsid w:val="00FB3BCD"/>
    <w:rsid w:val="00FB604B"/>
    <w:rsid w:val="00FB6F22"/>
    <w:rsid w:val="00FC30A1"/>
    <w:rsid w:val="00FE0EB8"/>
    <w:rsid w:val="00FE6999"/>
    <w:rsid w:val="195F337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C01738-0CDA-417A-9000-9D29B318FD1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712</Words>
  <Characters>4063</Characters>
  <Lines>33</Lines>
  <Paragraphs>9</Paragraphs>
  <TotalTime>260</TotalTime>
  <ScaleCrop>false</ScaleCrop>
  <LinksUpToDate>false</LinksUpToDate>
  <CharactersWithSpaces>4766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2022-04-20T08:14:19Z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