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1年70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第3季度报告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w:t>
      </w:r>
      <w:r>
        <w:rPr>
          <w:rFonts w:ascii="仿宋" w:hAnsi="仿宋" w:eastAsia="仿宋"/>
        </w:rPr>
        <w:t>0</w:t>
      </w:r>
      <w:r>
        <w:rPr>
          <w:rFonts w:hint="eastAsia" w:ascii="仿宋" w:hAnsi="仿宋" w:eastAsia="仿宋"/>
          <w:lang w:val="en-US" w:eastAsia="zh-CN"/>
        </w:rPr>
        <w:t>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70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300,000,000.00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2021年3月3日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5.00%-5.40%/年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户名：工商银行贵阳农商银行超值宝１年７０期理财产品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账号：3602003829200464804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-389,969.88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5,568,869.14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311,884,477.30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1.81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3.96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2.90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w:t>
      </w:r>
      <w:r>
        <w:rPr>
          <w:rFonts w:hint="eastAsia" w:ascii="仿宋" w:hAnsi="仿宋" w:eastAsia="仿宋"/>
          <w:szCs w:val="21"/>
          <w:shd w:val="clear" w:color="auto" w:fill="FFFFFF"/>
          <w:lang w:val="en-US" w:eastAsia="zh-CN"/>
        </w:rPr>
        <w:t>2021年3月</w:t>
      </w:r>
      <w:r>
        <w:rPr>
          <w:rFonts w:hint="eastAsia" w:ascii="仿宋" w:hAnsi="仿宋" w:eastAsia="仿宋"/>
          <w:color w:val="000000"/>
          <w:szCs w:val="21"/>
        </w:rPr>
        <w:t>成立以来，累计管理规模</w:t>
      </w:r>
      <w:r>
        <w:rPr>
          <w:rFonts w:hint="eastAsia" w:ascii="仿宋" w:hAnsi="仿宋" w:eastAsia="仿宋"/>
          <w:color w:val="000000"/>
          <w:szCs w:val="21"/>
          <w:lang w:val="en-US" w:eastAsia="zh-CN"/>
        </w:rPr>
        <w:t>3.12</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1.0396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1.81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208,534,691.54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 xml:space="preserve">66.66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104,150,624.38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142,772.16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312,828,088.08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312,828,088.08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541.00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312,828,629.18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hint="eastAsia"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p>
      <w:pPr>
        <w:spacing w:before="156" w:beforeLines="50" w:after="156" w:afterLines="50" w:line="360" w:lineRule="auto"/>
        <w:rPr>
          <w:rFonts w:hint="eastAsia" w:ascii="仿宋" w:hAnsi="仿宋" w:eastAsia="仿宋"/>
        </w:rPr>
      </w:pP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6,482,322,404.75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83.52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26,969,000.00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700,907,474.96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92"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292,022,271.41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258,952,777.74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7,761,173,928.86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R014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349,973,164.96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14天债券协议回购_206014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290,099,000.00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252,957,500.00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245,288,600.00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192,000,000.00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179,635,000.00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170,687,550.00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159,712,000.00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150,246,100.00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140,112,000.00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2,130,710,914.96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27.45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gIa4utA5DTk090Y/tW1qZVVSCq8=" w:salt="BZLtczx4VYqJ6fU2VgGwJ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9492CBA"/>
    <w:rsid w:val="0C1169C9"/>
    <w:rsid w:val="0C7B13D8"/>
    <w:rsid w:val="0D1E78E3"/>
    <w:rsid w:val="109E69E3"/>
    <w:rsid w:val="134F5BC1"/>
    <w:rsid w:val="14A17047"/>
    <w:rsid w:val="14E74041"/>
    <w:rsid w:val="153D2966"/>
    <w:rsid w:val="15882635"/>
    <w:rsid w:val="18730D27"/>
    <w:rsid w:val="188B46A5"/>
    <w:rsid w:val="18E5081F"/>
    <w:rsid w:val="195F6954"/>
    <w:rsid w:val="1C311D75"/>
    <w:rsid w:val="1D3809F3"/>
    <w:rsid w:val="20F97D3D"/>
    <w:rsid w:val="20FE7807"/>
    <w:rsid w:val="21FF327F"/>
    <w:rsid w:val="2AA204DB"/>
    <w:rsid w:val="2CDA0061"/>
    <w:rsid w:val="2D537C03"/>
    <w:rsid w:val="2FCD2C4F"/>
    <w:rsid w:val="311B063E"/>
    <w:rsid w:val="359F4683"/>
    <w:rsid w:val="364502B2"/>
    <w:rsid w:val="3658600C"/>
    <w:rsid w:val="38721494"/>
    <w:rsid w:val="394F4B22"/>
    <w:rsid w:val="3BFC187B"/>
    <w:rsid w:val="3D305393"/>
    <w:rsid w:val="3F524561"/>
    <w:rsid w:val="4218718A"/>
    <w:rsid w:val="451831E0"/>
    <w:rsid w:val="46776F3C"/>
    <w:rsid w:val="4D1108E2"/>
    <w:rsid w:val="4EE378EB"/>
    <w:rsid w:val="50D46540"/>
    <w:rsid w:val="525A74F2"/>
    <w:rsid w:val="55744624"/>
    <w:rsid w:val="57FE5038"/>
    <w:rsid w:val="58DF7C14"/>
    <w:rsid w:val="5E660FCE"/>
    <w:rsid w:val="64DB1A48"/>
    <w:rsid w:val="64F431AF"/>
    <w:rsid w:val="673B4350"/>
    <w:rsid w:val="67855A67"/>
    <w:rsid w:val="67DF73FA"/>
    <w:rsid w:val="692A41F0"/>
    <w:rsid w:val="6C7928C7"/>
    <w:rsid w:val="6DFB21C9"/>
    <w:rsid w:val="6EE803EC"/>
    <w:rsid w:val="705B15C4"/>
    <w:rsid w:val="718D7823"/>
    <w:rsid w:val="72B166F7"/>
    <w:rsid w:val="76C97AE1"/>
    <w:rsid w:val="78F3167F"/>
    <w:rsid w:val="7B704348"/>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1.0212</c:v>
                </c:pt>
                <c:pt idx="1">
                  <c:v>1.0215</c:v>
                </c:pt>
                <c:pt idx="2">
                  <c:v>1.0214</c:v>
                </c:pt>
                <c:pt idx="3">
                  <c:v>1.0214</c:v>
                </c:pt>
                <c:pt idx="4">
                  <c:v>1.0223</c:v>
                </c:pt>
                <c:pt idx="5">
                  <c:v>1.0225</c:v>
                </c:pt>
                <c:pt idx="6">
                  <c:v>1.0228</c:v>
                </c:pt>
                <c:pt idx="7">
                  <c:v>1.0235</c:v>
                </c:pt>
                <c:pt idx="8">
                  <c:v>1.0238</c:v>
                </c:pt>
                <c:pt idx="9">
                  <c:v>1.0238</c:v>
                </c:pt>
                <c:pt idx="10">
                  <c:v>1.0238</c:v>
                </c:pt>
                <c:pt idx="11">
                  <c:v>1.0246</c:v>
                </c:pt>
                <c:pt idx="12">
                  <c:v>1.025</c:v>
                </c:pt>
                <c:pt idx="13">
                  <c:v>1.0256</c:v>
                </c:pt>
                <c:pt idx="14">
                  <c:v>1.0257</c:v>
                </c:pt>
                <c:pt idx="15">
                  <c:v>1.0261</c:v>
                </c:pt>
                <c:pt idx="16">
                  <c:v>1.0261</c:v>
                </c:pt>
                <c:pt idx="17">
                  <c:v>1.0261</c:v>
                </c:pt>
                <c:pt idx="18">
                  <c:v>1.0266</c:v>
                </c:pt>
                <c:pt idx="19">
                  <c:v>1.0269</c:v>
                </c:pt>
                <c:pt idx="20">
                  <c:v>1.0272</c:v>
                </c:pt>
                <c:pt idx="21">
                  <c:v>1.0275</c:v>
                </c:pt>
                <c:pt idx="22">
                  <c:v>1.0277</c:v>
                </c:pt>
                <c:pt idx="23">
                  <c:v>1.0277</c:v>
                </c:pt>
                <c:pt idx="24">
                  <c:v>1.0277</c:v>
                </c:pt>
                <c:pt idx="25">
                  <c:v>1.0284</c:v>
                </c:pt>
                <c:pt idx="26">
                  <c:v>1.0285</c:v>
                </c:pt>
                <c:pt idx="27">
                  <c:v>1.0285</c:v>
                </c:pt>
                <c:pt idx="28">
                  <c:v>1.0286</c:v>
                </c:pt>
                <c:pt idx="29">
                  <c:v>1.0287</c:v>
                </c:pt>
                <c:pt idx="30">
                  <c:v>1.0287</c:v>
                </c:pt>
                <c:pt idx="31">
                  <c:v>1.0287</c:v>
                </c:pt>
                <c:pt idx="32">
                  <c:v>1.0294</c:v>
                </c:pt>
                <c:pt idx="33">
                  <c:v>1.0297</c:v>
                </c:pt>
                <c:pt idx="34">
                  <c:v>1.03</c:v>
                </c:pt>
                <c:pt idx="35">
                  <c:v>1.0303</c:v>
                </c:pt>
                <c:pt idx="36">
                  <c:v>1.0306</c:v>
                </c:pt>
                <c:pt idx="37">
                  <c:v>1.0306</c:v>
                </c:pt>
                <c:pt idx="38">
                  <c:v>1.0306</c:v>
                </c:pt>
                <c:pt idx="39">
                  <c:v>1.0312</c:v>
                </c:pt>
                <c:pt idx="40">
                  <c:v>1.0312</c:v>
                </c:pt>
                <c:pt idx="41">
                  <c:v>1.0314</c:v>
                </c:pt>
                <c:pt idx="42">
                  <c:v>1.0316</c:v>
                </c:pt>
                <c:pt idx="43">
                  <c:v>1.0318</c:v>
                </c:pt>
                <c:pt idx="44">
                  <c:v>1.0318</c:v>
                </c:pt>
                <c:pt idx="45">
                  <c:v>1.0318</c:v>
                </c:pt>
                <c:pt idx="46">
                  <c:v>1.0324</c:v>
                </c:pt>
                <c:pt idx="47">
                  <c:v>1.0326</c:v>
                </c:pt>
                <c:pt idx="48">
                  <c:v>1.0329</c:v>
                </c:pt>
                <c:pt idx="49">
                  <c:v>1.0332</c:v>
                </c:pt>
                <c:pt idx="50">
                  <c:v>1.0334</c:v>
                </c:pt>
                <c:pt idx="51">
                  <c:v>1.0334</c:v>
                </c:pt>
                <c:pt idx="52">
                  <c:v>1.0334</c:v>
                </c:pt>
                <c:pt idx="53">
                  <c:v>1.034</c:v>
                </c:pt>
                <c:pt idx="54">
                  <c:v>1.0342</c:v>
                </c:pt>
                <c:pt idx="55">
                  <c:v>1.0344</c:v>
                </c:pt>
                <c:pt idx="56">
                  <c:v>1.0344</c:v>
                </c:pt>
                <c:pt idx="57">
                  <c:v>1.0344</c:v>
                </c:pt>
                <c:pt idx="58">
                  <c:v>1.0344</c:v>
                </c:pt>
                <c:pt idx="59">
                  <c:v>1.0344</c:v>
                </c:pt>
                <c:pt idx="60">
                  <c:v>1.035</c:v>
                </c:pt>
                <c:pt idx="61">
                  <c:v>1.0351</c:v>
                </c:pt>
                <c:pt idx="62">
                  <c:v>1.0355</c:v>
                </c:pt>
                <c:pt idx="63">
                  <c:v>1.0356</c:v>
                </c:pt>
                <c:pt idx="64">
                  <c:v>1.0358</c:v>
                </c:pt>
                <c:pt idx="65">
                  <c:v>1.0358</c:v>
                </c:pt>
                <c:pt idx="66">
                  <c:v>1.0357</c:v>
                </c:pt>
                <c:pt idx="67">
                  <c:v>1.0362</c:v>
                </c:pt>
                <c:pt idx="68">
                  <c:v>1.0362</c:v>
                </c:pt>
                <c:pt idx="69">
                  <c:v>1.0364</c:v>
                </c:pt>
                <c:pt idx="70">
                  <c:v>1.0364</c:v>
                </c:pt>
                <c:pt idx="71">
                  <c:v>1.0364</c:v>
                </c:pt>
                <c:pt idx="72">
                  <c:v>1.0364</c:v>
                </c:pt>
                <c:pt idx="73">
                  <c:v>1.0364</c:v>
                </c:pt>
                <c:pt idx="74">
                  <c:v>1.037</c:v>
                </c:pt>
                <c:pt idx="75">
                  <c:v>1.0372</c:v>
                </c:pt>
                <c:pt idx="76">
                  <c:v>1.0373</c:v>
                </c:pt>
                <c:pt idx="77">
                  <c:v>1.0374</c:v>
                </c:pt>
                <c:pt idx="78">
                  <c:v>1.0375</c:v>
                </c:pt>
                <c:pt idx="79">
                  <c:v>1.0375</c:v>
                </c:pt>
                <c:pt idx="80">
                  <c:v>1.0375</c:v>
                </c:pt>
                <c:pt idx="81">
                  <c:v>1.0375</c:v>
                </c:pt>
                <c:pt idx="82">
                  <c:v>1.0375</c:v>
                </c:pt>
                <c:pt idx="83">
                  <c:v>1.0384</c:v>
                </c:pt>
                <c:pt idx="84">
                  <c:v>1.0386</c:v>
                </c:pt>
                <c:pt idx="85">
                  <c:v>1.0388</c:v>
                </c:pt>
                <c:pt idx="86">
                  <c:v>1.0388</c:v>
                </c:pt>
                <c:pt idx="87">
                  <c:v>1.0388</c:v>
                </c:pt>
                <c:pt idx="88">
                  <c:v>1.0392</c:v>
                </c:pt>
                <c:pt idx="89">
                  <c:v>1.0394</c:v>
                </c:pt>
                <c:pt idx="90">
                  <c:v>1.0394</c:v>
                </c:pt>
                <c:pt idx="91">
                  <c:v>1.0396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9.79336010187293e-5</c:v>
                </c:pt>
                <c:pt idx="1">
                  <c:v>0.000391734404074251</c:v>
                </c:pt>
                <c:pt idx="2">
                  <c:v>0.000293800803055744</c:v>
                </c:pt>
                <c:pt idx="3">
                  <c:v>0.000293800803055744</c:v>
                </c:pt>
                <c:pt idx="4">
                  <c:v>0.00117520321222231</c:v>
                </c:pt>
                <c:pt idx="5">
                  <c:v>0.0013710704142591</c:v>
                </c:pt>
                <c:pt idx="6">
                  <c:v>0.00166487121731462</c:v>
                </c:pt>
                <c:pt idx="7">
                  <c:v>0.0023504064244444</c:v>
                </c:pt>
                <c:pt idx="8">
                  <c:v>0.00264420722749992</c:v>
                </c:pt>
                <c:pt idx="9">
                  <c:v>0.00264420722749992</c:v>
                </c:pt>
                <c:pt idx="10">
                  <c:v>0.00264420722749992</c:v>
                </c:pt>
                <c:pt idx="11">
                  <c:v>0.00342767603564798</c:v>
                </c:pt>
                <c:pt idx="12">
                  <c:v>0.00381941043972178</c:v>
                </c:pt>
                <c:pt idx="13">
                  <c:v>0.00440701204583305</c:v>
                </c:pt>
                <c:pt idx="14">
                  <c:v>0.00450494564685155</c:v>
                </c:pt>
                <c:pt idx="15">
                  <c:v>0.00489668005092558</c:v>
                </c:pt>
                <c:pt idx="16">
                  <c:v>0.00489668005092558</c:v>
                </c:pt>
                <c:pt idx="17">
                  <c:v>0.00489668005092558</c:v>
                </c:pt>
                <c:pt idx="18">
                  <c:v>0.00538634805601812</c:v>
                </c:pt>
                <c:pt idx="19">
                  <c:v>0.00568014885907364</c:v>
                </c:pt>
                <c:pt idx="20">
                  <c:v>0.00597394966212916</c:v>
                </c:pt>
                <c:pt idx="21">
                  <c:v>0.00626775046518468</c:v>
                </c:pt>
                <c:pt idx="22">
                  <c:v>0.0064636176672217</c:v>
                </c:pt>
                <c:pt idx="23">
                  <c:v>0.0064636176672217</c:v>
                </c:pt>
                <c:pt idx="24">
                  <c:v>0.0064636176672217</c:v>
                </c:pt>
                <c:pt idx="25">
                  <c:v>0.00714915287435125</c:v>
                </c:pt>
                <c:pt idx="26">
                  <c:v>0.00724708647536976</c:v>
                </c:pt>
                <c:pt idx="27">
                  <c:v>0.00724708647536976</c:v>
                </c:pt>
                <c:pt idx="28">
                  <c:v>0.00734502007638826</c:v>
                </c:pt>
                <c:pt idx="29">
                  <c:v>0.00744295367740677</c:v>
                </c:pt>
                <c:pt idx="30">
                  <c:v>0.00744295367740677</c:v>
                </c:pt>
                <c:pt idx="31">
                  <c:v>0.00744295367740677</c:v>
                </c:pt>
                <c:pt idx="32">
                  <c:v>0.00812848888453654</c:v>
                </c:pt>
                <c:pt idx="33">
                  <c:v>0.00842228968759207</c:v>
                </c:pt>
                <c:pt idx="34">
                  <c:v>0.00871609049064737</c:v>
                </c:pt>
                <c:pt idx="35">
                  <c:v>0.00900989129370289</c:v>
                </c:pt>
                <c:pt idx="36">
                  <c:v>0.00930369209675841</c:v>
                </c:pt>
                <c:pt idx="37">
                  <c:v>0.00930369209675841</c:v>
                </c:pt>
                <c:pt idx="38">
                  <c:v>0.00930369209675841</c:v>
                </c:pt>
                <c:pt idx="39">
                  <c:v>0.00989129370286945</c:v>
                </c:pt>
                <c:pt idx="40">
                  <c:v>0.00989129370286945</c:v>
                </c:pt>
                <c:pt idx="41">
                  <c:v>0.0100871609049067</c:v>
                </c:pt>
                <c:pt idx="42">
                  <c:v>0.0102830281069437</c:v>
                </c:pt>
                <c:pt idx="43">
                  <c:v>0.0104788953089807</c:v>
                </c:pt>
                <c:pt idx="44">
                  <c:v>0.0104788953089807</c:v>
                </c:pt>
                <c:pt idx="45">
                  <c:v>0.0104788953089807</c:v>
                </c:pt>
                <c:pt idx="46">
                  <c:v>0.0110664969150918</c:v>
                </c:pt>
                <c:pt idx="47">
                  <c:v>0.0112623641171286</c:v>
                </c:pt>
                <c:pt idx="48">
                  <c:v>0.0115561649201841</c:v>
                </c:pt>
                <c:pt idx="49">
                  <c:v>0.0118499657232396</c:v>
                </c:pt>
                <c:pt idx="50">
                  <c:v>0.0120458329252768</c:v>
                </c:pt>
                <c:pt idx="51">
                  <c:v>0.0120458329252768</c:v>
                </c:pt>
                <c:pt idx="52">
                  <c:v>0.0120458329252768</c:v>
                </c:pt>
                <c:pt idx="53">
                  <c:v>0.0126334345313879</c:v>
                </c:pt>
                <c:pt idx="54">
                  <c:v>0.0128293017334249</c:v>
                </c:pt>
                <c:pt idx="55">
                  <c:v>0.0130251689354619</c:v>
                </c:pt>
                <c:pt idx="56">
                  <c:v>0.0130251689354619</c:v>
                </c:pt>
                <c:pt idx="57">
                  <c:v>0.0130251689354619</c:v>
                </c:pt>
                <c:pt idx="58">
                  <c:v>0.0130251689354619</c:v>
                </c:pt>
                <c:pt idx="59">
                  <c:v>0.0130251689354619</c:v>
                </c:pt>
                <c:pt idx="60">
                  <c:v>0.0136127705415727</c:v>
                </c:pt>
                <c:pt idx="61">
                  <c:v>0.0137107041425912</c:v>
                </c:pt>
                <c:pt idx="62">
                  <c:v>0.0141024385466655</c:v>
                </c:pt>
                <c:pt idx="63">
                  <c:v>0.014200372147684</c:v>
                </c:pt>
                <c:pt idx="64">
                  <c:v>0.014396239349721</c:v>
                </c:pt>
                <c:pt idx="65">
                  <c:v>0.014396239349721</c:v>
                </c:pt>
                <c:pt idx="66">
                  <c:v>0.0142983057487025</c:v>
                </c:pt>
                <c:pt idx="67">
                  <c:v>0.014787973753795</c:v>
                </c:pt>
                <c:pt idx="68">
                  <c:v>0.014787973753795</c:v>
                </c:pt>
                <c:pt idx="69">
                  <c:v>0.0149838409558321</c:v>
                </c:pt>
                <c:pt idx="70">
                  <c:v>0.0149838409558321</c:v>
                </c:pt>
                <c:pt idx="71">
                  <c:v>0.0149838409558321</c:v>
                </c:pt>
                <c:pt idx="72">
                  <c:v>0.0149838409558321</c:v>
                </c:pt>
                <c:pt idx="73">
                  <c:v>0.0149838409558321</c:v>
                </c:pt>
                <c:pt idx="74">
                  <c:v>0.0155714425619431</c:v>
                </c:pt>
                <c:pt idx="75">
                  <c:v>0.0157673097639801</c:v>
                </c:pt>
                <c:pt idx="76">
                  <c:v>0.0158652433649988</c:v>
                </c:pt>
                <c:pt idx="77">
                  <c:v>0.0159631769660173</c:v>
                </c:pt>
                <c:pt idx="78">
                  <c:v>0.0160611105670356</c:v>
                </c:pt>
                <c:pt idx="79">
                  <c:v>0.0160611105670356</c:v>
                </c:pt>
                <c:pt idx="80">
                  <c:v>0.0160611105670356</c:v>
                </c:pt>
                <c:pt idx="81">
                  <c:v>0.0160611105670356</c:v>
                </c:pt>
                <c:pt idx="82">
                  <c:v>0.0160611105670356</c:v>
                </c:pt>
                <c:pt idx="83">
                  <c:v>0.0169425129762022</c:v>
                </c:pt>
                <c:pt idx="84">
                  <c:v>0.0171383801782392</c:v>
                </c:pt>
                <c:pt idx="85">
                  <c:v>0.0173342473802762</c:v>
                </c:pt>
                <c:pt idx="86">
                  <c:v>0.0173342473802762</c:v>
                </c:pt>
                <c:pt idx="87">
                  <c:v>0.0173342473802762</c:v>
                </c:pt>
                <c:pt idx="88">
                  <c:v>0.0177259817843503</c:v>
                </c:pt>
                <c:pt idx="89">
                  <c:v>0.0179218489863875</c:v>
                </c:pt>
                <c:pt idx="90">
                  <c:v>0.0179218489863875</c:v>
                </c:pt>
                <c:pt idx="91">
                  <c:v>0.0181177161884245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2021-10-28T03:26:44Z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38BC4954D0514BEA8047F3C475945584</vt:lpwstr>
  </property>
</Properties>
</file>