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61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1季度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3</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03</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1年61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lang w:val="en-US"/>
              </w:rPr>
            </w:pPr>
            <w:r>
              <w:rPr>
                <w:rFonts w:hint="eastAsia"/>
                <w:lang w:eastAsia="zh-CN"/>
              </w:rPr>
              <w:t>C11883</w:t>
            </w:r>
            <w:r>
              <w:rPr>
                <w:rFonts w:hint="eastAsia"/>
                <w:lang w:val="en-US" w:eastAsia="zh-CN"/>
              </w:rPr>
              <w:t>20000126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200,000,000.00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2020年12月22日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户名：工商银行贵阳农商银行超值宝１年６１期理财产品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账号：3602003829200457728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-248,483.82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3,033,101.58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203,233,379.99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3</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1.62</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1.53</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20</w:t>
      </w:r>
      <w:r>
        <w:rPr>
          <w:rFonts w:hint="eastAsia" w:ascii="仿宋" w:hAnsi="仿宋" w:eastAsia="仿宋"/>
          <w:color w:val="000000"/>
          <w:szCs w:val="21"/>
        </w:rPr>
        <w:t>年</w:t>
      </w:r>
      <w:r>
        <w:rPr>
          <w:rFonts w:hint="eastAsia" w:ascii="仿宋" w:hAnsi="仿宋" w:eastAsia="仿宋"/>
          <w:szCs w:val="21"/>
          <w:shd w:val="clear" w:color="auto" w:fill="FFFFFF"/>
          <w:lang w:val="en-US" w:eastAsia="zh-CN"/>
        </w:rPr>
        <w:t>12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2.03</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03</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日，净值1.</w:t>
      </w:r>
      <w:r>
        <w:rPr>
          <w:rFonts w:hint="eastAsia" w:ascii="仿宋" w:hAnsi="仿宋" w:eastAsia="仿宋"/>
          <w:color w:val="000000"/>
          <w:szCs w:val="21"/>
          <w:lang w:val="en-US" w:eastAsia="zh-CN"/>
        </w:rPr>
        <w:t>0162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101,841,925.74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50.11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lang w:val="en-US" w:eastAsia="zh-CN"/>
              </w:rPr>
              <w:t>101,702,695.93</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50.04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203,544,621.67</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eastAsia="zh-CN"/>
              </w:rPr>
            </w:pPr>
            <w:r>
              <w:rPr>
                <w:rFonts w:hint="eastAsia" w:ascii="仿宋" w:hAnsi="仿宋" w:eastAsia="仿宋"/>
                <w:szCs w:val="21"/>
              </w:rPr>
              <w:t>203,544,621.67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1,944.44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rPr>
            </w:pPr>
            <w:r>
              <w:rPr>
                <w:rFonts w:hint="eastAsia" w:ascii="仿宋" w:hAnsi="仿宋" w:eastAsia="仿宋"/>
                <w:szCs w:val="21"/>
                <w:lang w:val="en-US" w:eastAsia="zh-CN"/>
              </w:rPr>
              <w:t>0.22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rPr>
            </w:pPr>
            <w:r>
              <w:rPr>
                <w:rFonts w:hint="eastAsia" w:ascii="仿宋" w:hAnsi="仿宋" w:eastAsia="仿宋"/>
                <w:szCs w:val="21"/>
              </w:rPr>
              <w:t>203,546,566.33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top"/>
              <w:rPr>
                <w:rFonts w:ascii="仿宋" w:hAnsi="仿宋" w:eastAsia="仿宋"/>
                <w:szCs w:val="21"/>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5,777,851,126.51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86.40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103,915,200.00</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9.99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316,674,145.02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4.74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 xml:space="preserve">51,161,499.14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451,554,462.22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6.75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6,687,549,711.55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lang w:val="en-US" w:eastAsia="zh-CN"/>
              </w:rPr>
              <w:t>19佳源04</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250,515,200.00 </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3.75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20黔西南</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181,984,500.00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2.72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3</w:t>
            </w:r>
          </w:p>
        </w:tc>
        <w:tc>
          <w:tcPr>
            <w:tcW w:w="4349" w:type="dxa"/>
            <w:vAlign w:val="center"/>
          </w:tcPr>
          <w:p>
            <w:pPr>
              <w:jc w:val="left"/>
              <w:rPr>
                <w:rFonts w:hint="eastAsia" w:ascii="仿宋" w:hAnsi="仿宋" w:eastAsia="仿宋"/>
                <w:szCs w:val="21"/>
                <w:lang w:val="en-US" w:eastAsia="zh-CN"/>
              </w:rPr>
            </w:pPr>
            <w:r>
              <w:rPr>
                <w:rFonts w:hint="eastAsia" w:ascii="仿宋" w:hAnsi="仿宋" w:eastAsia="仿宋"/>
                <w:szCs w:val="21"/>
                <w:lang w:val="en-US" w:eastAsia="zh-CN"/>
              </w:rPr>
              <w:t>20遵资01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180,144,000.00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4</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16铜旅01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164,375,052.00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5</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20筑工01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157,856,000.00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6</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S19六民</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154,664,000.00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2.31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7</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000008</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136,799,000.00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8</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20铜开01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132,842,300.00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1.99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9</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20遵投01</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129,318,600.00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1.93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r>
              <w:rPr>
                <w:rFonts w:hint="eastAsia" w:ascii="仿宋" w:hAnsi="仿宋" w:eastAsia="仿宋"/>
                <w:szCs w:val="21"/>
                <w:lang w:val="en-US" w:eastAsia="zh-CN"/>
              </w:rPr>
              <w:t>10</w:t>
            </w:r>
          </w:p>
        </w:tc>
        <w:tc>
          <w:tcPr>
            <w:tcW w:w="4349" w:type="dxa"/>
            <w:vAlign w:val="center"/>
          </w:tcPr>
          <w:p>
            <w:pPr>
              <w:jc w:val="left"/>
              <w:rPr>
                <w:rFonts w:hint="eastAsia" w:ascii="仿宋" w:hAnsi="仿宋" w:eastAsia="仿宋"/>
                <w:szCs w:val="21"/>
              </w:rPr>
            </w:pPr>
            <w:r>
              <w:rPr>
                <w:rFonts w:hint="eastAsia" w:ascii="仿宋" w:hAnsi="仿宋" w:eastAsia="仿宋"/>
                <w:szCs w:val="21"/>
                <w:lang w:val="en-US" w:eastAsia="zh-CN"/>
              </w:rPr>
              <w:t>19贵合投资债</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125,950,000.00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1.88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val="en-US"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 xml:space="preserve">1,614,448,652.00 </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24.14</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eastAsia="宋体"/>
          <w:lang w:eastAsia="zh-CN"/>
        </w:rPr>
      </w:pPr>
      <w:r>
        <w:rPr>
          <w:rFonts w:hint="eastAsia" w:ascii="宋体"/>
        </w:rPr>
        <w:tab/>
      </w:r>
      <w:r>
        <w:rPr>
          <w:rFonts w:hint="eastAsia" w:ascii="宋体"/>
        </w:rPr>
        <w:t>本报告期内，本计划</w:t>
      </w:r>
      <w:r>
        <w:rPr>
          <w:rFonts w:hint="eastAsia" w:ascii="宋体"/>
          <w:lang w:eastAsia="zh-CN"/>
        </w:rPr>
        <w:t>未</w:t>
      </w:r>
      <w:r>
        <w:rPr>
          <w:rFonts w:hint="eastAsia" w:ascii="宋体"/>
        </w:rPr>
        <w:t>发生</w:t>
      </w:r>
      <w:r>
        <w:rPr>
          <w:rFonts w:hint="eastAsia" w:ascii="宋体"/>
          <w:color w:val="auto"/>
        </w:rPr>
        <w:t>关联交易</w:t>
      </w:r>
      <w:r>
        <w:rPr>
          <w:rFonts w:hint="eastAsia" w:ascii="宋体"/>
        </w:rPr>
        <w:t>。</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rFonts w:hint="eastAsia" w:eastAsia="宋体"/>
          <w:lang w:val="en-US" w:eastAsia="zh-CN"/>
        </w:rPr>
      </w:pPr>
      <w:r>
        <w:t>查阅方式网站：http://www.gynsh.com咨询电话：0851-</w:t>
      </w:r>
      <w:r>
        <w:rPr>
          <w:rFonts w:hint="eastAsia"/>
          <w:lang w:val="en-US" w:eastAsia="zh-CN"/>
        </w:rPr>
        <w:t>88115057</w:t>
      </w:r>
    </w:p>
    <w:p>
      <w:pPr>
        <w:spacing w:line="360" w:lineRule="auto"/>
      </w:pPr>
    </w:p>
    <w:p>
      <w:pPr>
        <w:spacing w:line="360" w:lineRule="auto"/>
        <w:jc w:val="right"/>
        <w:rPr>
          <w:rFonts w:ascii="宋体" w:hAnsi="宋体"/>
          <w:szCs w:val="21"/>
        </w:rPr>
      </w:pPr>
      <w:r>
        <w:rPr>
          <w:rFonts w:hint="eastAsia" w:ascii="宋体" w:hAnsi="宋体"/>
          <w:szCs w:val="21"/>
        </w:rPr>
        <w:t xml:space="preserve">贵阳农村商业银行股份有限公司 </w:t>
      </w:r>
    </w:p>
    <w:p>
      <w:pPr>
        <w:spacing w:line="360" w:lineRule="auto"/>
        <w:jc w:val="right"/>
        <w:rPr>
          <w:rFonts w:hint="eastAsia" w:ascii="宋体" w:hAnsi="宋体"/>
          <w:szCs w:val="21"/>
        </w:rPr>
      </w:pP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03</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 xml:space="preserve">日 </w:t>
      </w:r>
    </w:p>
    <w:p>
      <w:pPr>
        <w:spacing w:line="360" w:lineRule="auto"/>
        <w:jc w:val="right"/>
        <w:rPr>
          <w:rFonts w:hint="eastAsia" w:ascii="宋体" w:hAnsi="宋体"/>
          <w:szCs w:val="21"/>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4mqzeUUkXXuuO9mzsC/IMrDTJzw=" w:salt="aiEBTQUEx9e6Ks8avAP6i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9860979"/>
    <w:rsid w:val="0A626B8A"/>
    <w:rsid w:val="0D901766"/>
    <w:rsid w:val="119D38F4"/>
    <w:rsid w:val="11F52987"/>
    <w:rsid w:val="12DA60B7"/>
    <w:rsid w:val="1322763E"/>
    <w:rsid w:val="13A3270E"/>
    <w:rsid w:val="153D2966"/>
    <w:rsid w:val="17E41503"/>
    <w:rsid w:val="2E77201B"/>
    <w:rsid w:val="2F4671E3"/>
    <w:rsid w:val="33C40040"/>
    <w:rsid w:val="342153CB"/>
    <w:rsid w:val="34296D79"/>
    <w:rsid w:val="38D97024"/>
    <w:rsid w:val="38E926E9"/>
    <w:rsid w:val="4264087B"/>
    <w:rsid w:val="42FF6865"/>
    <w:rsid w:val="43F3566A"/>
    <w:rsid w:val="44FC1717"/>
    <w:rsid w:val="457A406E"/>
    <w:rsid w:val="46CD3A39"/>
    <w:rsid w:val="48E8631C"/>
    <w:rsid w:val="49D806A7"/>
    <w:rsid w:val="4D870C30"/>
    <w:rsid w:val="51366883"/>
    <w:rsid w:val="51A03B59"/>
    <w:rsid w:val="57B47E4D"/>
    <w:rsid w:val="5E660FCE"/>
    <w:rsid w:val="62446D78"/>
    <w:rsid w:val="705B15C4"/>
    <w:rsid w:val="73083B4A"/>
    <w:rsid w:val="73181AE2"/>
    <w:rsid w:val="737F3265"/>
    <w:rsid w:val="757F3635"/>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115.16.31.83\&#22806;&#21253;&#32452;&#20849;&#20139;&#30424;\&#36149;&#38451;&#20892;&#21830;&#34892;2021&#19968;&#23395;&#25253;\&#32452;&#21512;&#20928;&#20540;&#20449;&#24687;&#34920;_&#31319;&#36149;&#38451;&#20892;&#21830;&#34892;1&#24180;61&#26399;-&#22806;&#21253;EDD_20210101_20210331.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115.16.31.83\&#22806;&#21253;&#32452;&#20849;&#20139;&#30424;\&#36149;&#38451;&#20892;&#21830;&#34892;2021&#19968;&#23395;&#25253;\&#32452;&#21512;&#20928;&#20540;&#20449;&#24687;&#34920;_&#31319;&#36149;&#38451;&#20892;&#21830;&#34892;1&#24180;61&#26399;-&#22806;&#21253;EDD_20210101_2021033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'[组合净值信息表_穗贵阳农商行1年61期-外包EDD_20210101_20210331.xls]Sheet1'!$A$1:$A$90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'[组合净值信息表_穗贵阳农商行1年61期-外包EDD_20210101_20210331.xls]Sheet1'!$B$1:$B$90</c:f>
              <c:numCache>
                <c:formatCode>General</c:formatCode>
                <c:ptCount val="90"/>
                <c:pt idx="0">
                  <c:v>1.001</c:v>
                </c:pt>
                <c:pt idx="1">
                  <c:v>1.001</c:v>
                </c:pt>
                <c:pt idx="2">
                  <c:v>1.001</c:v>
                </c:pt>
                <c:pt idx="3">
                  <c:v>1.0017</c:v>
                </c:pt>
                <c:pt idx="4">
                  <c:v>1.0019</c:v>
                </c:pt>
                <c:pt idx="5">
                  <c:v>1.0021</c:v>
                </c:pt>
                <c:pt idx="6">
                  <c:v>1.0024</c:v>
                </c:pt>
                <c:pt idx="7">
                  <c:v>1.0026</c:v>
                </c:pt>
                <c:pt idx="8">
                  <c:v>1.0026</c:v>
                </c:pt>
                <c:pt idx="9">
                  <c:v>1.0026</c:v>
                </c:pt>
                <c:pt idx="10">
                  <c:v>1.0033</c:v>
                </c:pt>
                <c:pt idx="11">
                  <c:v>1.0035</c:v>
                </c:pt>
                <c:pt idx="12">
                  <c:v>1.0038</c:v>
                </c:pt>
                <c:pt idx="13">
                  <c:v>1.004</c:v>
                </c:pt>
                <c:pt idx="14">
                  <c:v>1.0042</c:v>
                </c:pt>
                <c:pt idx="15">
                  <c:v>1.0042</c:v>
                </c:pt>
                <c:pt idx="16">
                  <c:v>1.0041</c:v>
                </c:pt>
                <c:pt idx="17">
                  <c:v>1.0046</c:v>
                </c:pt>
                <c:pt idx="18">
                  <c:v>1.0047</c:v>
                </c:pt>
                <c:pt idx="19">
                  <c:v>1.0045</c:v>
                </c:pt>
                <c:pt idx="20">
                  <c:v>1.0048</c:v>
                </c:pt>
                <c:pt idx="21">
                  <c:v>1.0049</c:v>
                </c:pt>
                <c:pt idx="22">
                  <c:v>1.0049</c:v>
                </c:pt>
                <c:pt idx="23">
                  <c:v>1.0049</c:v>
                </c:pt>
                <c:pt idx="24">
                  <c:v>1.005</c:v>
                </c:pt>
                <c:pt idx="25">
                  <c:v>1.0052</c:v>
                </c:pt>
                <c:pt idx="26">
                  <c:v>1.005</c:v>
                </c:pt>
                <c:pt idx="27">
                  <c:v>1.005</c:v>
                </c:pt>
                <c:pt idx="28">
                  <c:v>1.0048</c:v>
                </c:pt>
                <c:pt idx="29">
                  <c:v>1.0048</c:v>
                </c:pt>
                <c:pt idx="30">
                  <c:v>1.0052</c:v>
                </c:pt>
                <c:pt idx="31">
                  <c:v>1.0053</c:v>
                </c:pt>
                <c:pt idx="32">
                  <c:v>1.0057</c:v>
                </c:pt>
                <c:pt idx="33">
                  <c:v>1.0061</c:v>
                </c:pt>
                <c:pt idx="34">
                  <c:v>1.0061</c:v>
                </c:pt>
                <c:pt idx="35">
                  <c:v>1.0061</c:v>
                </c:pt>
                <c:pt idx="36">
                  <c:v>1.0061</c:v>
                </c:pt>
                <c:pt idx="37">
                  <c:v>1.0065</c:v>
                </c:pt>
                <c:pt idx="38">
                  <c:v>1.0066</c:v>
                </c:pt>
                <c:pt idx="39">
                  <c:v>1.0066</c:v>
                </c:pt>
                <c:pt idx="40">
                  <c:v>1.0066</c:v>
                </c:pt>
                <c:pt idx="41">
                  <c:v>1.0066</c:v>
                </c:pt>
                <c:pt idx="42">
                  <c:v>1.0066</c:v>
                </c:pt>
                <c:pt idx="43">
                  <c:v>1.0066</c:v>
                </c:pt>
                <c:pt idx="44">
                  <c:v>1.0066</c:v>
                </c:pt>
                <c:pt idx="45">
                  <c:v>1.0066</c:v>
                </c:pt>
                <c:pt idx="46">
                  <c:v>1.0065</c:v>
                </c:pt>
                <c:pt idx="47">
                  <c:v>1.0065</c:v>
                </c:pt>
                <c:pt idx="48">
                  <c:v>1.0079</c:v>
                </c:pt>
                <c:pt idx="49">
                  <c:v>1.008</c:v>
                </c:pt>
                <c:pt idx="50">
                  <c:v>1.008</c:v>
                </c:pt>
                <c:pt idx="51">
                  <c:v>1.008</c:v>
                </c:pt>
                <c:pt idx="52">
                  <c:v>1.0085</c:v>
                </c:pt>
                <c:pt idx="53">
                  <c:v>1.0086</c:v>
                </c:pt>
                <c:pt idx="54">
                  <c:v>1.0089</c:v>
                </c:pt>
                <c:pt idx="55">
                  <c:v>1.0091</c:v>
                </c:pt>
                <c:pt idx="56">
                  <c:v>1.0092</c:v>
                </c:pt>
                <c:pt idx="57">
                  <c:v>1.0092</c:v>
                </c:pt>
                <c:pt idx="58">
                  <c:v>1.0096</c:v>
                </c:pt>
                <c:pt idx="59">
                  <c:v>1.0098</c:v>
                </c:pt>
                <c:pt idx="60">
                  <c:v>1.01</c:v>
                </c:pt>
                <c:pt idx="61">
                  <c:v>1.0103</c:v>
                </c:pt>
                <c:pt idx="62">
                  <c:v>1.0105</c:v>
                </c:pt>
                <c:pt idx="63">
                  <c:v>1.0107</c:v>
                </c:pt>
                <c:pt idx="64">
                  <c:v>1.0107</c:v>
                </c:pt>
                <c:pt idx="65">
                  <c:v>1.0107</c:v>
                </c:pt>
                <c:pt idx="66">
                  <c:v>1.0113</c:v>
                </c:pt>
                <c:pt idx="67">
                  <c:v>1.0114</c:v>
                </c:pt>
                <c:pt idx="68">
                  <c:v>1.0116</c:v>
                </c:pt>
                <c:pt idx="69">
                  <c:v>1.0119</c:v>
                </c:pt>
                <c:pt idx="70">
                  <c:v>1.012</c:v>
                </c:pt>
                <c:pt idx="71">
                  <c:v>1.012</c:v>
                </c:pt>
                <c:pt idx="72">
                  <c:v>1.012</c:v>
                </c:pt>
                <c:pt idx="73">
                  <c:v>1.0127</c:v>
                </c:pt>
                <c:pt idx="74">
                  <c:v>1.0126</c:v>
                </c:pt>
                <c:pt idx="75">
                  <c:v>1.0127</c:v>
                </c:pt>
                <c:pt idx="76">
                  <c:v>1.0128</c:v>
                </c:pt>
                <c:pt idx="77">
                  <c:v>1.0131</c:v>
                </c:pt>
                <c:pt idx="78">
                  <c:v>1.0131</c:v>
                </c:pt>
                <c:pt idx="79">
                  <c:v>1.0131</c:v>
                </c:pt>
                <c:pt idx="80">
                  <c:v>1.0139</c:v>
                </c:pt>
                <c:pt idx="81">
                  <c:v>1.0141</c:v>
                </c:pt>
                <c:pt idx="82">
                  <c:v>1.0143</c:v>
                </c:pt>
                <c:pt idx="83">
                  <c:v>1.0145</c:v>
                </c:pt>
                <c:pt idx="84">
                  <c:v>1.015</c:v>
                </c:pt>
                <c:pt idx="85">
                  <c:v>1.015</c:v>
                </c:pt>
                <c:pt idx="86">
                  <c:v>1.015</c:v>
                </c:pt>
                <c:pt idx="87">
                  <c:v>1.0156</c:v>
                </c:pt>
                <c:pt idx="88">
                  <c:v>1.0158</c:v>
                </c:pt>
                <c:pt idx="89">
                  <c:v>1.0162</c:v>
                </c:pt>
              </c:numCache>
            </c:numRef>
          </c:val>
          <c:smooth val="0"/>
        </c:ser>
        <c:dLbls>
          <c:showLegendKey val="0"/>
          <c:showVal val="0"/>
          <c:showCatName val="0"/>
          <c:showSerName val="0"/>
          <c:showPercent val="0"/>
          <c:showBubbleSize val="0"/>
        </c:dLbls>
        <c:marker val="0"/>
        <c:smooth val="0"/>
        <c:axId val="528838227"/>
        <c:axId val="416765566"/>
      </c:lineChart>
      <c:dateAx>
        <c:axId val="528838227"/>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6765566"/>
        <c:crosses val="autoZero"/>
        <c:auto val="1"/>
        <c:lblOffset val="100"/>
        <c:baseTimeUnit val="days"/>
      </c:dateAx>
      <c:valAx>
        <c:axId val="4167655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88382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'[组合净值信息表_穗贵阳农商行1年61期-外包EDD_20210101_20210331.xls]Sheet1'!$A$1:$A$90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'[组合净值信息表_穗贵阳农商行1年61期-外包EDD_20210101_20210331.xls]Sheet1'!$C$1:$C$90</c:f>
              <c:numCache>
                <c:formatCode>0.00%</c:formatCode>
                <c:ptCount val="90"/>
                <c:pt idx="0">
                  <c:v>0</c:v>
                </c:pt>
                <c:pt idx="1">
                  <c:v>0</c:v>
                </c:pt>
                <c:pt idx="2">
                  <c:v>0</c:v>
                </c:pt>
                <c:pt idx="3">
                  <c:v>0.000699300699300798</c:v>
                </c:pt>
                <c:pt idx="4">
                  <c:v>0.000899100899101057</c:v>
                </c:pt>
                <c:pt idx="5">
                  <c:v>0.00109890109890109</c:v>
                </c:pt>
                <c:pt idx="6">
                  <c:v>0.00139860139860137</c:v>
                </c:pt>
                <c:pt idx="7">
                  <c:v>0.00159840159840163</c:v>
                </c:pt>
                <c:pt idx="8">
                  <c:v>0.00159840159840163</c:v>
                </c:pt>
                <c:pt idx="9">
                  <c:v>0.00159840159840163</c:v>
                </c:pt>
                <c:pt idx="10">
                  <c:v>0.00229770229770243</c:v>
                </c:pt>
                <c:pt idx="11">
                  <c:v>0.00249750249750269</c:v>
                </c:pt>
                <c:pt idx="12">
                  <c:v>0.00279720279720297</c:v>
                </c:pt>
                <c:pt idx="13">
                  <c:v>0.00299700299700301</c:v>
                </c:pt>
                <c:pt idx="14">
                  <c:v>0.00319680319680327</c:v>
                </c:pt>
                <c:pt idx="15">
                  <c:v>0.00319680319680327</c:v>
                </c:pt>
                <c:pt idx="16">
                  <c:v>0.00309690309690325</c:v>
                </c:pt>
                <c:pt idx="17">
                  <c:v>0.00359640359640356</c:v>
                </c:pt>
                <c:pt idx="18">
                  <c:v>0.0036963036963038</c:v>
                </c:pt>
                <c:pt idx="19">
                  <c:v>0.00349650349650354</c:v>
                </c:pt>
                <c:pt idx="20">
                  <c:v>0.00379620379620382</c:v>
                </c:pt>
                <c:pt idx="21">
                  <c:v>0.00389610389610384</c:v>
                </c:pt>
                <c:pt idx="22">
                  <c:v>0.00389610389610384</c:v>
                </c:pt>
                <c:pt idx="23">
                  <c:v>0.00389610389610384</c:v>
                </c:pt>
                <c:pt idx="24">
                  <c:v>0.00399600399600408</c:v>
                </c:pt>
                <c:pt idx="25">
                  <c:v>0.00419580419580434</c:v>
                </c:pt>
                <c:pt idx="26">
                  <c:v>0.00399600399600408</c:v>
                </c:pt>
                <c:pt idx="27">
                  <c:v>0.00399600399600408</c:v>
                </c:pt>
                <c:pt idx="28">
                  <c:v>0.00379620379620382</c:v>
                </c:pt>
                <c:pt idx="29">
                  <c:v>0.00379620379620382</c:v>
                </c:pt>
                <c:pt idx="30">
                  <c:v>0.00419580419580434</c:v>
                </c:pt>
                <c:pt idx="31">
                  <c:v>0.00429570429570458</c:v>
                </c:pt>
                <c:pt idx="32">
                  <c:v>0.00469530469530488</c:v>
                </c:pt>
                <c:pt idx="33">
                  <c:v>0.00509490509490518</c:v>
                </c:pt>
                <c:pt idx="34">
                  <c:v>0.00509490509490518</c:v>
                </c:pt>
                <c:pt idx="35">
                  <c:v>0.00509490509490518</c:v>
                </c:pt>
                <c:pt idx="36">
                  <c:v>0.00509490509490518</c:v>
                </c:pt>
                <c:pt idx="37">
                  <c:v>0.00549450549450547</c:v>
                </c:pt>
                <c:pt idx="38">
                  <c:v>0.00559440559440572</c:v>
                </c:pt>
                <c:pt idx="39">
                  <c:v>0.00559440559440572</c:v>
                </c:pt>
                <c:pt idx="40">
                  <c:v>0.00559440559440572</c:v>
                </c:pt>
                <c:pt idx="41">
                  <c:v>0.00559440559440572</c:v>
                </c:pt>
                <c:pt idx="42">
                  <c:v>0.00559440559440572</c:v>
                </c:pt>
                <c:pt idx="43">
                  <c:v>0.00559440559440572</c:v>
                </c:pt>
                <c:pt idx="44">
                  <c:v>0.00559440559440572</c:v>
                </c:pt>
                <c:pt idx="45">
                  <c:v>0.00559440559440572</c:v>
                </c:pt>
                <c:pt idx="46">
                  <c:v>0.00549450549450547</c:v>
                </c:pt>
                <c:pt idx="47">
                  <c:v>0.00549450549450547</c:v>
                </c:pt>
                <c:pt idx="48">
                  <c:v>0.00689310689310707</c:v>
                </c:pt>
                <c:pt idx="49">
                  <c:v>0.00699300699300709</c:v>
                </c:pt>
                <c:pt idx="50">
                  <c:v>0.00699300699300709</c:v>
                </c:pt>
                <c:pt idx="51">
                  <c:v>0.00699300699300709</c:v>
                </c:pt>
                <c:pt idx="52">
                  <c:v>0.00749250749250763</c:v>
                </c:pt>
                <c:pt idx="53">
                  <c:v>0.00759240759240765</c:v>
                </c:pt>
                <c:pt idx="54">
                  <c:v>0.00789210789210792</c:v>
                </c:pt>
                <c:pt idx="55">
                  <c:v>0.00809190809190841</c:v>
                </c:pt>
                <c:pt idx="56">
                  <c:v>0.00819180819180843</c:v>
                </c:pt>
                <c:pt idx="57">
                  <c:v>0.00819180819180843</c:v>
                </c:pt>
                <c:pt idx="58">
                  <c:v>0.00859140859140872</c:v>
                </c:pt>
                <c:pt idx="59">
                  <c:v>0.00879120879120898</c:v>
                </c:pt>
                <c:pt idx="60">
                  <c:v>0.00899100899100902</c:v>
                </c:pt>
                <c:pt idx="61">
                  <c:v>0.0092907092907093</c:v>
                </c:pt>
                <c:pt idx="62">
                  <c:v>0.00949050949050956</c:v>
                </c:pt>
                <c:pt idx="63">
                  <c:v>0.00969030969030982</c:v>
                </c:pt>
                <c:pt idx="64">
                  <c:v>0.00969030969030982</c:v>
                </c:pt>
                <c:pt idx="65">
                  <c:v>0.00969030969030982</c:v>
                </c:pt>
                <c:pt idx="66">
                  <c:v>0.0102897102897106</c:v>
                </c:pt>
                <c:pt idx="67">
                  <c:v>0.0103896103896106</c:v>
                </c:pt>
                <c:pt idx="68">
                  <c:v>0.0105894105894107</c:v>
                </c:pt>
                <c:pt idx="69">
                  <c:v>0.0108891108891109</c:v>
                </c:pt>
                <c:pt idx="70">
                  <c:v>0.0109890109890112</c:v>
                </c:pt>
                <c:pt idx="71">
                  <c:v>0.0109890109890112</c:v>
                </c:pt>
                <c:pt idx="72">
                  <c:v>0.0109890109890112</c:v>
                </c:pt>
                <c:pt idx="73">
                  <c:v>0.0116883116883117</c:v>
                </c:pt>
                <c:pt idx="74">
                  <c:v>0.0115884115884117</c:v>
                </c:pt>
                <c:pt idx="75">
                  <c:v>0.0116883116883117</c:v>
                </c:pt>
                <c:pt idx="76">
                  <c:v>0.0117882117882118</c:v>
                </c:pt>
                <c:pt idx="77">
                  <c:v>0.012087912087912</c:v>
                </c:pt>
                <c:pt idx="78">
                  <c:v>0.012087912087912</c:v>
                </c:pt>
                <c:pt idx="79">
                  <c:v>0.012087912087912</c:v>
                </c:pt>
                <c:pt idx="80">
                  <c:v>0.0128871128871131</c:v>
                </c:pt>
                <c:pt idx="81">
                  <c:v>0.0130869130869131</c:v>
                </c:pt>
                <c:pt idx="82">
                  <c:v>0.0132867132867134</c:v>
                </c:pt>
                <c:pt idx="83">
                  <c:v>0.0134865134865136</c:v>
                </c:pt>
                <c:pt idx="84">
                  <c:v>0.013986013986014</c:v>
                </c:pt>
                <c:pt idx="85">
                  <c:v>0.013986013986014</c:v>
                </c:pt>
                <c:pt idx="86">
                  <c:v>0.013986013986014</c:v>
                </c:pt>
                <c:pt idx="87">
                  <c:v>0.0145854145854147</c:v>
                </c:pt>
                <c:pt idx="88">
                  <c:v>0.014785214785215</c:v>
                </c:pt>
                <c:pt idx="89">
                  <c:v>0.0151848151848153</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'[组合净值信息表_穗贵阳农商行1年61期-外包EDD_20210101_20210331.xls]Sheet1'!$A$1:$A$90</c:f>
              <c:numCache>
                <c:formatCode>yyyy/m/d</c:formatCode>
                <c:ptCount val="90"/>
                <c:pt idx="0" c:formatCode="yyyy/m/d">
                  <c:v>44197</c:v>
                </c:pt>
                <c:pt idx="1" c:formatCode="yyyy/m/d">
                  <c:v>44198</c:v>
                </c:pt>
                <c:pt idx="2" c:formatCode="yyyy/m/d">
                  <c:v>44199</c:v>
                </c:pt>
                <c:pt idx="3" c:formatCode="yyyy/m/d">
                  <c:v>44200</c:v>
                </c:pt>
                <c:pt idx="4" c:formatCode="yyyy/m/d">
                  <c:v>44201</c:v>
                </c:pt>
                <c:pt idx="5" c:formatCode="yyyy/m/d">
                  <c:v>44202</c:v>
                </c:pt>
                <c:pt idx="6" c:formatCode="yyyy/m/d">
                  <c:v>44203</c:v>
                </c:pt>
                <c:pt idx="7" c:formatCode="yyyy/m/d">
                  <c:v>44204</c:v>
                </c:pt>
                <c:pt idx="8" c:formatCode="yyyy/m/d">
                  <c:v>44205</c:v>
                </c:pt>
                <c:pt idx="9" c:formatCode="yyyy/m/d">
                  <c:v>44206</c:v>
                </c:pt>
                <c:pt idx="10" c:formatCode="yyyy/m/d">
                  <c:v>44207</c:v>
                </c:pt>
                <c:pt idx="11" c:formatCode="yyyy/m/d">
                  <c:v>44208</c:v>
                </c:pt>
                <c:pt idx="12" c:formatCode="yyyy/m/d">
                  <c:v>44209</c:v>
                </c:pt>
                <c:pt idx="13" c:formatCode="yyyy/m/d">
                  <c:v>44210</c:v>
                </c:pt>
                <c:pt idx="14" c:formatCode="yyyy/m/d">
                  <c:v>44211</c:v>
                </c:pt>
                <c:pt idx="15" c:formatCode="yyyy/m/d">
                  <c:v>44212</c:v>
                </c:pt>
                <c:pt idx="16" c:formatCode="yyyy/m/d">
                  <c:v>44213</c:v>
                </c:pt>
                <c:pt idx="17" c:formatCode="yyyy/m/d">
                  <c:v>44214</c:v>
                </c:pt>
                <c:pt idx="18" c:formatCode="yyyy/m/d">
                  <c:v>44215</c:v>
                </c:pt>
                <c:pt idx="19" c:formatCode="yyyy/m/d">
                  <c:v>44216</c:v>
                </c:pt>
                <c:pt idx="20" c:formatCode="yyyy/m/d">
                  <c:v>44217</c:v>
                </c:pt>
                <c:pt idx="21" c:formatCode="yyyy/m/d">
                  <c:v>44218</c:v>
                </c:pt>
                <c:pt idx="22" c:formatCode="yyyy/m/d">
                  <c:v>44219</c:v>
                </c:pt>
                <c:pt idx="23" c:formatCode="yyyy/m/d">
                  <c:v>44220</c:v>
                </c:pt>
                <c:pt idx="24" c:formatCode="yyyy/m/d">
                  <c:v>44221</c:v>
                </c:pt>
                <c:pt idx="25" c:formatCode="yyyy/m/d">
                  <c:v>44222</c:v>
                </c:pt>
                <c:pt idx="26" c:formatCode="yyyy/m/d">
                  <c:v>44223</c:v>
                </c:pt>
                <c:pt idx="27" c:formatCode="yyyy/m/d">
                  <c:v>44224</c:v>
                </c:pt>
                <c:pt idx="28" c:formatCode="yyyy/m/d">
                  <c:v>44225</c:v>
                </c:pt>
                <c:pt idx="29" c:formatCode="yyyy/m/d">
                  <c:v>44226</c:v>
                </c:pt>
                <c:pt idx="30" c:formatCode="yyyy/m/d">
                  <c:v>44227</c:v>
                </c:pt>
                <c:pt idx="31" c:formatCode="yyyy/m/d">
                  <c:v>44228</c:v>
                </c:pt>
                <c:pt idx="32" c:formatCode="yyyy/m/d">
                  <c:v>44229</c:v>
                </c:pt>
                <c:pt idx="33" c:formatCode="yyyy/m/d">
                  <c:v>44230</c:v>
                </c:pt>
                <c:pt idx="34" c:formatCode="yyyy/m/d">
                  <c:v>44231</c:v>
                </c:pt>
                <c:pt idx="35" c:formatCode="yyyy/m/d">
                  <c:v>44232</c:v>
                </c:pt>
                <c:pt idx="36" c:formatCode="yyyy/m/d">
                  <c:v>44233</c:v>
                </c:pt>
                <c:pt idx="37" c:formatCode="yyyy/m/d">
                  <c:v>44234</c:v>
                </c:pt>
                <c:pt idx="38" c:formatCode="yyyy/m/d">
                  <c:v>44235</c:v>
                </c:pt>
                <c:pt idx="39" c:formatCode="yyyy/m/d">
                  <c:v>44236</c:v>
                </c:pt>
                <c:pt idx="40" c:formatCode="yyyy/m/d">
                  <c:v>44237</c:v>
                </c:pt>
                <c:pt idx="41" c:formatCode="yyyy/m/d">
                  <c:v>44238</c:v>
                </c:pt>
                <c:pt idx="42" c:formatCode="yyyy/m/d">
                  <c:v>44239</c:v>
                </c:pt>
                <c:pt idx="43" c:formatCode="yyyy/m/d">
                  <c:v>44240</c:v>
                </c:pt>
                <c:pt idx="44" c:formatCode="yyyy/m/d">
                  <c:v>44241</c:v>
                </c:pt>
                <c:pt idx="45" c:formatCode="yyyy/m/d">
                  <c:v>44242</c:v>
                </c:pt>
                <c:pt idx="46" c:formatCode="yyyy/m/d">
                  <c:v>44243</c:v>
                </c:pt>
                <c:pt idx="47" c:formatCode="yyyy/m/d">
                  <c:v>44244</c:v>
                </c:pt>
                <c:pt idx="48" c:formatCode="yyyy/m/d">
                  <c:v>44245</c:v>
                </c:pt>
                <c:pt idx="49" c:formatCode="yyyy/m/d">
                  <c:v>44246</c:v>
                </c:pt>
                <c:pt idx="50" c:formatCode="yyyy/m/d">
                  <c:v>44247</c:v>
                </c:pt>
                <c:pt idx="51" c:formatCode="yyyy/m/d">
                  <c:v>44248</c:v>
                </c:pt>
                <c:pt idx="52" c:formatCode="yyyy/m/d">
                  <c:v>44249</c:v>
                </c:pt>
                <c:pt idx="53" c:formatCode="yyyy/m/d">
                  <c:v>44250</c:v>
                </c:pt>
                <c:pt idx="54" c:formatCode="yyyy/m/d">
                  <c:v>44251</c:v>
                </c:pt>
                <c:pt idx="55" c:formatCode="yyyy/m/d">
                  <c:v>44252</c:v>
                </c:pt>
                <c:pt idx="56" c:formatCode="yyyy/m/d">
                  <c:v>44253</c:v>
                </c:pt>
                <c:pt idx="57" c:formatCode="yyyy/m/d">
                  <c:v>44254</c:v>
                </c:pt>
                <c:pt idx="58" c:formatCode="yyyy/m/d">
                  <c:v>44255</c:v>
                </c:pt>
                <c:pt idx="59" c:formatCode="yyyy/m/d">
                  <c:v>44256</c:v>
                </c:pt>
                <c:pt idx="60" c:formatCode="yyyy/m/d">
                  <c:v>44257</c:v>
                </c:pt>
                <c:pt idx="61" c:formatCode="yyyy/m/d">
                  <c:v>44258</c:v>
                </c:pt>
                <c:pt idx="62" c:formatCode="yyyy/m/d">
                  <c:v>44259</c:v>
                </c:pt>
                <c:pt idx="63" c:formatCode="yyyy/m/d">
                  <c:v>44260</c:v>
                </c:pt>
                <c:pt idx="64" c:formatCode="yyyy/m/d">
                  <c:v>44261</c:v>
                </c:pt>
                <c:pt idx="65" c:formatCode="yyyy/m/d">
                  <c:v>44262</c:v>
                </c:pt>
                <c:pt idx="66" c:formatCode="yyyy/m/d">
                  <c:v>44263</c:v>
                </c:pt>
                <c:pt idx="67" c:formatCode="yyyy/m/d">
                  <c:v>44264</c:v>
                </c:pt>
                <c:pt idx="68" c:formatCode="yyyy/m/d">
                  <c:v>44265</c:v>
                </c:pt>
                <c:pt idx="69" c:formatCode="yyyy/m/d">
                  <c:v>44266</c:v>
                </c:pt>
                <c:pt idx="70" c:formatCode="yyyy/m/d">
                  <c:v>44267</c:v>
                </c:pt>
                <c:pt idx="71" c:formatCode="yyyy/m/d">
                  <c:v>44268</c:v>
                </c:pt>
                <c:pt idx="72" c:formatCode="yyyy/m/d">
                  <c:v>44269</c:v>
                </c:pt>
                <c:pt idx="73" c:formatCode="yyyy/m/d">
                  <c:v>44270</c:v>
                </c:pt>
                <c:pt idx="74" c:formatCode="yyyy/m/d">
                  <c:v>44271</c:v>
                </c:pt>
                <c:pt idx="75" c:formatCode="yyyy/m/d">
                  <c:v>44272</c:v>
                </c:pt>
                <c:pt idx="76" c:formatCode="yyyy/m/d">
                  <c:v>44273</c:v>
                </c:pt>
                <c:pt idx="77" c:formatCode="yyyy/m/d">
                  <c:v>44274</c:v>
                </c:pt>
                <c:pt idx="78" c:formatCode="yyyy/m/d">
                  <c:v>44275</c:v>
                </c:pt>
                <c:pt idx="79" c:formatCode="yyyy/m/d">
                  <c:v>44276</c:v>
                </c:pt>
                <c:pt idx="80" c:formatCode="yyyy/m/d">
                  <c:v>44277</c:v>
                </c:pt>
                <c:pt idx="81" c:formatCode="yyyy/m/d">
                  <c:v>44278</c:v>
                </c:pt>
                <c:pt idx="82" c:formatCode="yyyy/m/d">
                  <c:v>44279</c:v>
                </c:pt>
                <c:pt idx="83" c:formatCode="yyyy/m/d">
                  <c:v>44280</c:v>
                </c:pt>
                <c:pt idx="84" c:formatCode="yyyy/m/d">
                  <c:v>44281</c:v>
                </c:pt>
                <c:pt idx="85" c:formatCode="yyyy/m/d">
                  <c:v>44282</c:v>
                </c:pt>
                <c:pt idx="86" c:formatCode="yyyy/m/d">
                  <c:v>44283</c:v>
                </c:pt>
                <c:pt idx="87" c:formatCode="yyyy/m/d">
                  <c:v>44284</c:v>
                </c:pt>
                <c:pt idx="88" c:formatCode="yyyy/m/d">
                  <c:v>44285</c:v>
                </c:pt>
                <c:pt idx="89" c:formatCode="yyyy/m/d">
                  <c:v>44286</c:v>
                </c:pt>
              </c:numCache>
            </c:numRef>
          </c:cat>
          <c:val>
            <c:numRef>
              <c:f>'[组合净值信息表_穗贵阳农商行1年61期-外包EDD_20210101_20210331.xls]Sheet1'!$E$1:$E$90</c:f>
              <c:numCache>
                <c:formatCode>0.00%</c:formatCode>
                <c:ptCount val="90"/>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numCache>
            </c:numRef>
          </c:val>
          <c:smooth val="0"/>
        </c:ser>
        <c:dLbls>
          <c:showLegendKey val="0"/>
          <c:showVal val="0"/>
          <c:showCatName val="0"/>
          <c:showSerName val="0"/>
          <c:showPercent val="0"/>
          <c:showBubbleSize val="0"/>
        </c:dLbls>
        <c:marker val="0"/>
        <c:smooth val="0"/>
        <c:axId val="102501432"/>
        <c:axId val="772438698"/>
      </c:lineChart>
      <c:dateAx>
        <c:axId val="102501432"/>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438698"/>
        <c:crosses val="autoZero"/>
        <c:auto val="1"/>
        <c:lblOffset val="100"/>
        <c:baseTimeUnit val="days"/>
      </c:dateAx>
      <c:valAx>
        <c:axId val="77243869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250143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王海斌</cp:lastModifiedBy>
  <cp:lastPrinted>2019-10-15T07:44:00Z</cp:lastPrinted>
  <dcterms:modified xsi:type="dcterms:W3CDTF">2022-01-26T00:58:55Z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