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Lines="50" w:afterLines="50" w:line="360" w:lineRule="auto"/>
        <w:jc w:val="center"/>
        <w:rPr>
          <w:rFonts w:ascii="宋体" w:hAnsi="宋体"/>
          <w:b/>
          <w:color w:val="000000"/>
          <w:sz w:val="32"/>
          <w:szCs w:val="32"/>
          <w:shd w:val="clear" w:color="auto" w:fill="FFFFFF"/>
        </w:rPr>
      </w:pPr>
    </w:p>
    <w:p>
      <w:pPr>
        <w:spacing w:beforeLines="50" w:afterLines="50" w:line="360" w:lineRule="auto"/>
        <w:jc w:val="center"/>
        <w:rPr>
          <w:rFonts w:ascii="宋体" w:hAnsi="宋体"/>
          <w:b/>
          <w:color w:val="000000"/>
          <w:sz w:val="32"/>
          <w:szCs w:val="32"/>
          <w:shd w:val="clear" w:color="auto" w:fill="FFFFFF"/>
        </w:rPr>
      </w:pPr>
    </w:p>
    <w:p>
      <w:pPr>
        <w:spacing w:beforeLines="50" w:afterLines="50" w:line="360" w:lineRule="auto"/>
        <w:jc w:val="center"/>
        <w:rPr>
          <w:rFonts w:ascii="方正小标宋简体" w:hAnsi="宋体" w:eastAsia="方正小标宋简体"/>
          <w:color w:val="000000"/>
          <w:sz w:val="44"/>
          <w:szCs w:val="32"/>
          <w:u w:val="single"/>
          <w:shd w:val="clear" w:color="auto" w:fill="FFFFFF"/>
        </w:rPr>
      </w:pPr>
      <w:r>
        <w:rPr>
          <w:rFonts w:hint="eastAsia" w:ascii="方正小标宋简体" w:hAnsi="宋体" w:eastAsia="方正小标宋简体"/>
          <w:color w:val="000000"/>
          <w:sz w:val="44"/>
          <w:szCs w:val="32"/>
          <w:shd w:val="clear" w:color="auto" w:fill="FFFFFF"/>
        </w:rPr>
        <w:t>超值宝1</w:t>
      </w:r>
      <w:bookmarkStart w:id="11" w:name="_GoBack"/>
      <w:bookmarkEnd w:id="11"/>
      <w:permStart w:id="0" w:edGrp="everyone"/>
      <w:permEnd w:id="0"/>
      <w:r>
        <w:rPr>
          <w:rFonts w:hint="eastAsia" w:ascii="方正小标宋简体" w:hAnsi="宋体" w:eastAsia="方正小标宋简体"/>
          <w:color w:val="000000"/>
          <w:sz w:val="44"/>
          <w:szCs w:val="32"/>
          <w:shd w:val="clear" w:color="auto" w:fill="FFFFFF"/>
        </w:rPr>
        <w:t>年53期理财产品</w:t>
      </w:r>
    </w:p>
    <w:p>
      <w:pPr>
        <w:spacing w:beforeLines="50" w:afterLines="50" w:line="360" w:lineRule="auto"/>
        <w:jc w:val="center"/>
        <w:rPr>
          <w:rFonts w:ascii="方正小标宋简体" w:hAnsi="宋体" w:eastAsia="方正小标宋简体"/>
          <w:sz w:val="36"/>
          <w:szCs w:val="24"/>
        </w:rPr>
      </w:pPr>
      <w:r>
        <w:rPr>
          <w:rFonts w:ascii="方正小标宋简体" w:hAnsi="宋体" w:eastAsia="方正小标宋简体"/>
          <w:color w:val="000000"/>
          <w:sz w:val="44"/>
          <w:szCs w:val="32"/>
          <w:shd w:val="clear" w:color="auto" w:fill="FFFFFF"/>
        </w:rPr>
        <w:t>2021年半年度</w:t>
      </w:r>
      <w:r>
        <w:rPr>
          <w:rFonts w:hint="eastAsia" w:ascii="方正小标宋简体" w:hAnsi="宋体" w:eastAsia="方正小标宋简体"/>
          <w:color w:val="000000"/>
          <w:sz w:val="44"/>
          <w:szCs w:val="32"/>
          <w:shd w:val="clear" w:color="auto" w:fill="FFFFFF"/>
        </w:rPr>
        <w:t>报告</w:t>
      </w:r>
    </w:p>
    <w:p>
      <w:pPr>
        <w:spacing w:beforeLines="50" w:afterLines="50" w:line="360" w:lineRule="auto"/>
        <w:jc w:val="center"/>
        <w:rPr>
          <w:rFonts w:ascii="宋体" w:hAnsi="宋体"/>
          <w:b/>
          <w:color w:val="000000"/>
          <w:sz w:val="32"/>
          <w:szCs w:val="32"/>
          <w:shd w:val="clear" w:color="auto" w:fill="FFFFFF"/>
        </w:rPr>
      </w:pPr>
    </w:p>
    <w:p>
      <w:pPr>
        <w:spacing w:beforeLines="50" w:afterLines="50" w:line="360" w:lineRule="auto"/>
        <w:jc w:val="center"/>
        <w:rPr>
          <w:rFonts w:ascii="宋体" w:hAnsi="宋体"/>
          <w:b/>
          <w:color w:val="000000"/>
          <w:sz w:val="32"/>
          <w:szCs w:val="32"/>
          <w:shd w:val="clear" w:color="auto" w:fill="FFFFFF"/>
        </w:rPr>
      </w:pPr>
      <w:r>
        <w:rPr>
          <w:rFonts w:ascii="宋体" w:hAnsi="宋体"/>
          <w:b/>
          <w:color w:val="000000"/>
          <w:sz w:val="32"/>
          <w:szCs w:val="32"/>
          <w:shd w:val="clear" w:color="auto" w:fill="FFFFFF"/>
        </w:rPr>
        <w:t>2021年06月30日</w:t>
      </w:r>
      <w:bookmarkStart w:id="0" w:name="OLE_LINK3"/>
      <w:bookmarkEnd w:id="0"/>
      <w:bookmarkStart w:id="1" w:name="OLE_LINK1"/>
      <w:bookmarkEnd w:id="1"/>
      <w:bookmarkStart w:id="2" w:name="OLE_LINK2"/>
      <w:bookmarkEnd w:id="2"/>
    </w:p>
    <w:p>
      <w:pPr>
        <w:spacing w:beforeLines="50" w:afterLines="50" w:line="360" w:lineRule="auto"/>
        <w:jc w:val="center"/>
        <w:rPr>
          <w:rFonts w:ascii="宋体" w:hAnsi="宋体"/>
          <w:b/>
          <w:color w:val="000000"/>
          <w:sz w:val="32"/>
          <w:szCs w:val="32"/>
          <w:shd w:val="clear" w:color="auto" w:fill="FFFFFF"/>
        </w:rPr>
      </w:pPr>
    </w:p>
    <w:p>
      <w:pPr>
        <w:spacing w:beforeLines="50" w:afterLines="50" w:line="360" w:lineRule="auto"/>
        <w:jc w:val="center"/>
        <w:rPr>
          <w:rFonts w:ascii="宋体" w:hAnsi="宋体"/>
          <w:b/>
          <w:color w:val="000000"/>
          <w:sz w:val="32"/>
          <w:szCs w:val="32"/>
          <w:shd w:val="clear" w:color="auto" w:fill="FFFFFF"/>
        </w:rPr>
      </w:pPr>
    </w:p>
    <w:p>
      <w:pPr>
        <w:spacing w:beforeLines="50" w:afterLines="50" w:line="360" w:lineRule="auto"/>
        <w:jc w:val="center"/>
        <w:rPr>
          <w:rFonts w:ascii="宋体" w:hAnsi="宋体"/>
          <w:b/>
          <w:color w:val="000000"/>
          <w:sz w:val="32"/>
          <w:szCs w:val="32"/>
          <w:shd w:val="clear" w:color="auto" w:fill="FFFFFF"/>
        </w:rPr>
      </w:pPr>
    </w:p>
    <w:p>
      <w:pPr>
        <w:spacing w:beforeLines="50" w:afterLines="50" w:line="360" w:lineRule="auto"/>
        <w:jc w:val="center"/>
        <w:rPr>
          <w:rFonts w:ascii="宋体" w:hAnsi="宋体"/>
          <w:b/>
          <w:color w:val="000000"/>
          <w:sz w:val="32"/>
          <w:szCs w:val="32"/>
          <w:shd w:val="clear" w:color="auto" w:fill="FFFFFF"/>
        </w:rPr>
      </w:pPr>
    </w:p>
    <w:p>
      <w:pPr>
        <w:spacing w:beforeLines="50" w:afterLines="50" w:line="360" w:lineRule="auto"/>
        <w:jc w:val="center"/>
        <w:rPr>
          <w:rFonts w:ascii="宋体" w:hAnsi="宋体"/>
          <w:b/>
          <w:color w:val="000000"/>
          <w:sz w:val="32"/>
          <w:szCs w:val="32"/>
          <w:shd w:val="clear" w:color="auto" w:fill="FFFFFF"/>
        </w:rPr>
      </w:pPr>
    </w:p>
    <w:p>
      <w:pPr>
        <w:spacing w:beforeLines="50" w:afterLines="50" w:line="360" w:lineRule="auto"/>
        <w:jc w:val="center"/>
        <w:rPr>
          <w:rFonts w:ascii="宋体" w:hAnsi="宋体"/>
          <w:b/>
          <w:color w:val="000000"/>
          <w:sz w:val="32"/>
          <w:szCs w:val="32"/>
          <w:shd w:val="clear" w:color="auto" w:fill="FFFFFF"/>
        </w:rPr>
      </w:pPr>
    </w:p>
    <w:p>
      <w:pPr>
        <w:spacing w:beforeLines="50" w:afterLines="50" w:line="360" w:lineRule="auto"/>
        <w:jc w:val="center"/>
        <w:rPr>
          <w:rFonts w:ascii="宋体" w:hAnsi="宋体"/>
          <w:b/>
          <w:color w:val="000000"/>
          <w:sz w:val="32"/>
          <w:szCs w:val="32"/>
          <w:shd w:val="clear" w:color="auto" w:fill="FFFFFF"/>
        </w:rPr>
      </w:pPr>
      <w:r>
        <w:rPr>
          <w:rFonts w:hint="eastAsia" w:ascii="宋体" w:hAnsi="宋体"/>
          <w:b/>
          <w:color w:val="000000"/>
          <w:sz w:val="32"/>
          <w:szCs w:val="32"/>
          <w:shd w:val="clear" w:color="auto" w:fill="FFFFFF"/>
        </w:rPr>
        <w:t>产品管理人：</w:t>
      </w:r>
      <w:r>
        <w:rPr>
          <w:rFonts w:ascii="宋体" w:hAnsi="宋体"/>
          <w:b/>
          <w:color w:val="000000"/>
          <w:sz w:val="32"/>
          <w:szCs w:val="32"/>
          <w:shd w:val="clear" w:color="auto" w:fill="FFFFFF"/>
        </w:rPr>
        <w:t>贵阳农村商业银行股份有限公司</w:t>
      </w:r>
    </w:p>
    <w:p>
      <w:pPr>
        <w:spacing w:beforeLines="50" w:afterLines="50" w:line="360" w:lineRule="auto"/>
        <w:jc w:val="center"/>
        <w:rPr>
          <w:rFonts w:ascii="宋体" w:hAnsi="宋体"/>
          <w:b/>
          <w:color w:val="FF0000"/>
          <w:sz w:val="32"/>
          <w:szCs w:val="32"/>
          <w:shd w:val="clear" w:color="auto" w:fill="FFFFFF"/>
        </w:rPr>
      </w:pPr>
      <w:r>
        <w:rPr>
          <w:rFonts w:hint="eastAsia" w:ascii="宋体" w:hAnsi="宋体"/>
          <w:b/>
          <w:color w:val="000000"/>
          <w:sz w:val="32"/>
          <w:szCs w:val="32"/>
          <w:shd w:val="clear" w:color="auto" w:fill="FFFFFF"/>
        </w:rPr>
        <w:t>产品托管人：</w:t>
      </w:r>
      <w:r>
        <w:rPr>
          <w:rFonts w:hint="eastAsia" w:ascii="宋体" w:hAnsi="宋体"/>
          <w:b/>
          <w:color w:val="FF0000"/>
          <w:sz w:val="32"/>
          <w:szCs w:val="32"/>
          <w:shd w:val="clear" w:color="auto" w:fill="FFFFFF"/>
        </w:rPr>
        <w:t>招商银行股份有限公司贵阳分行</w:t>
      </w:r>
    </w:p>
    <w:p>
      <w:pPr>
        <w:spacing w:beforeLines="50" w:afterLines="50" w:line="360" w:lineRule="auto"/>
        <w:jc w:val="center"/>
        <w:rPr>
          <w:rFonts w:ascii="宋体" w:hAnsi="宋体"/>
          <w:b/>
          <w:color w:val="000000"/>
          <w:sz w:val="32"/>
          <w:szCs w:val="32"/>
          <w:shd w:val="clear" w:color="auto" w:fill="FFFFFF"/>
        </w:rPr>
      </w:pPr>
    </w:p>
    <w:p>
      <w:pPr>
        <w:spacing w:beforeLines="50" w:afterLines="50" w:line="360" w:lineRule="auto"/>
        <w:jc w:val="center"/>
        <w:rPr>
          <w:rFonts w:ascii="宋体" w:hAnsi="宋体"/>
          <w:b/>
          <w:color w:val="000000"/>
          <w:sz w:val="32"/>
          <w:szCs w:val="32"/>
          <w:shd w:val="clear" w:color="auto" w:fill="FFFFFF"/>
        </w:rPr>
      </w:pPr>
    </w:p>
    <w:p>
      <w:pPr>
        <w:spacing w:beforeLines="50" w:afterLines="50" w:line="360" w:lineRule="auto"/>
        <w:jc w:val="center"/>
        <w:rPr>
          <w:rFonts w:ascii="宋体" w:hAnsi="宋体"/>
          <w:b/>
          <w:color w:val="000000"/>
          <w:sz w:val="32"/>
          <w:szCs w:val="32"/>
          <w:shd w:val="clear" w:color="auto" w:fill="FFFFFF"/>
        </w:rPr>
      </w:pPr>
    </w:p>
    <w:p>
      <w:pPr>
        <w:spacing w:beforeLines="50" w:afterLines="50" w:line="360" w:lineRule="auto"/>
        <w:jc w:val="center"/>
      </w:pPr>
      <w:r>
        <w:rPr>
          <w:rFonts w:hint="eastAsia" w:asciiTheme="minorEastAsia" w:hAnsiTheme="minorEastAsia" w:eastAsiaTheme="minorEastAsia"/>
          <w:b/>
          <w:sz w:val="24"/>
          <w:szCs w:val="24"/>
          <w:shd w:val="clear" w:color="auto" w:fill="FFFFFF"/>
        </w:rPr>
        <w:t>§1  重要提示</w:t>
      </w:r>
    </w:p>
    <w:p>
      <w:pPr>
        <w:spacing w:beforeLines="50" w:afterLines="50" w:line="600" w:lineRule="exact"/>
        <w:ind w:firstLine="420" w:firstLineChars="200"/>
      </w:pPr>
      <w:r>
        <w:t>产品管理人保证本报告所载资料不存在虚假记载、误导性陈述或重大遗漏</w:t>
      </w:r>
      <w:r>
        <w:rPr>
          <w:rFonts w:hint="eastAsia"/>
        </w:rPr>
        <w:t>，</w:t>
      </w:r>
      <w:r>
        <w:t>并对其内容的真实性、准确性和完整性承担个别及连带责任。</w:t>
      </w:r>
    </w:p>
    <w:p>
      <w:pPr>
        <w:spacing w:beforeLines="50" w:afterLines="50" w:line="600" w:lineRule="exact"/>
        <w:ind w:firstLine="420" w:firstLineChars="200"/>
        <w:rPr>
          <w:rFonts w:ascii="宋体" w:hAnsi="宋体"/>
          <w:b/>
          <w:color w:val="000000"/>
          <w:sz w:val="32"/>
          <w:szCs w:val="32"/>
          <w:shd w:val="clear" w:color="auto" w:fill="FFFFFF"/>
        </w:rPr>
      </w:pPr>
      <w:r>
        <w:t>产品托管人</w:t>
      </w:r>
      <w:r>
        <w:rPr>
          <w:rFonts w:hint="eastAsia"/>
          <w:color w:val="FF0000"/>
        </w:rPr>
        <w:t>招商</w:t>
      </w:r>
      <w:r>
        <w:rPr>
          <w:color w:val="FF0000"/>
        </w:rPr>
        <w:t>银行股份有限公司</w:t>
      </w:r>
      <w:r>
        <w:rPr>
          <w:rFonts w:hint="eastAsia"/>
          <w:color w:val="FF0000"/>
        </w:rPr>
        <w:t>贵阳分行</w:t>
      </w:r>
      <w:r>
        <w:rPr>
          <w:rFonts w:hint="eastAsia"/>
        </w:rPr>
        <w:t>，</w:t>
      </w:r>
      <w:r>
        <w:t>已复核了本报告中的财务指标、净值表现和投资组合报告等内容</w:t>
      </w:r>
      <w:r>
        <w:rPr>
          <w:rFonts w:hint="eastAsia"/>
        </w:rPr>
        <w:t>，</w:t>
      </w:r>
      <w:r>
        <w:t>保证复核内容不存在虚假记载、误导性陈述或者重大遗漏</w:t>
      </w:r>
      <w:r>
        <w:rPr>
          <w:rFonts w:hint="eastAsia"/>
        </w:rPr>
        <w:t>。</w:t>
      </w:r>
      <w:r>
        <w:t>本报告中财务资料未经审计</w:t>
      </w:r>
      <w:r>
        <w:rPr>
          <w:rFonts w:hint="eastAsia"/>
        </w:rPr>
        <w:t>。</w:t>
      </w:r>
      <w:r>
        <w:t>本报告期自2021年01月01日</w:t>
      </w:r>
      <w:bookmarkStart w:id="3" w:name="OLE_LINK5"/>
      <w:bookmarkEnd w:id="3"/>
      <w:bookmarkStart w:id="4" w:name="OLE_LINK6"/>
      <w:bookmarkEnd w:id="4"/>
      <w:r>
        <w:t>起至2021年06月30日止。</w:t>
      </w:r>
    </w:p>
    <w:p>
      <w:pPr>
        <w:spacing w:beforeLines="50" w:afterLines="50" w:line="360" w:lineRule="auto"/>
        <w:jc w:val="center"/>
        <w:rPr>
          <w:rFonts w:ascii="宋体" w:hAnsi="宋体"/>
          <w:b/>
          <w:color w:val="000000"/>
          <w:sz w:val="32"/>
          <w:szCs w:val="32"/>
          <w:shd w:val="clear" w:color="auto" w:fill="FFFFFF"/>
        </w:rPr>
      </w:pPr>
    </w:p>
    <w:p>
      <w:pPr>
        <w:spacing w:beforeLines="50" w:afterLines="50" w:line="360" w:lineRule="auto"/>
        <w:jc w:val="center"/>
        <w:rPr>
          <w:rFonts w:ascii="宋体" w:hAnsi="宋体"/>
          <w:b/>
          <w:color w:val="000000"/>
          <w:sz w:val="32"/>
          <w:szCs w:val="32"/>
          <w:shd w:val="clear" w:color="auto" w:fill="FFFFFF"/>
        </w:rPr>
      </w:pPr>
    </w:p>
    <w:p>
      <w:pPr>
        <w:spacing w:beforeLines="50" w:afterLines="50" w:line="360" w:lineRule="auto"/>
        <w:jc w:val="center"/>
        <w:rPr>
          <w:rFonts w:ascii="宋体" w:hAnsi="宋体"/>
          <w:b/>
          <w:color w:val="000000"/>
          <w:sz w:val="32"/>
          <w:szCs w:val="32"/>
          <w:shd w:val="clear" w:color="auto" w:fill="FFFFFF"/>
        </w:rPr>
      </w:pPr>
    </w:p>
    <w:p>
      <w:pPr>
        <w:spacing w:beforeLines="50" w:afterLines="50" w:line="360" w:lineRule="auto"/>
        <w:jc w:val="center"/>
        <w:rPr>
          <w:rFonts w:ascii="宋体" w:hAnsi="宋体"/>
          <w:b/>
          <w:color w:val="000000"/>
          <w:sz w:val="32"/>
          <w:szCs w:val="32"/>
          <w:shd w:val="clear" w:color="auto" w:fill="FFFFFF"/>
        </w:rPr>
      </w:pPr>
    </w:p>
    <w:p>
      <w:pPr>
        <w:spacing w:beforeLines="50" w:afterLines="50" w:line="360" w:lineRule="auto"/>
        <w:jc w:val="center"/>
        <w:rPr>
          <w:rFonts w:ascii="宋体" w:hAnsi="宋体"/>
          <w:b/>
          <w:color w:val="000000"/>
          <w:sz w:val="32"/>
          <w:szCs w:val="32"/>
          <w:shd w:val="clear" w:color="auto" w:fill="FFFFFF"/>
        </w:rPr>
      </w:pPr>
    </w:p>
    <w:p>
      <w:pPr>
        <w:spacing w:beforeLines="50" w:afterLines="50" w:line="360" w:lineRule="auto"/>
        <w:jc w:val="center"/>
        <w:rPr>
          <w:rFonts w:ascii="宋体" w:hAnsi="宋体"/>
          <w:b/>
          <w:color w:val="000000"/>
          <w:sz w:val="32"/>
          <w:szCs w:val="32"/>
          <w:shd w:val="clear" w:color="auto" w:fill="FFFFFF"/>
        </w:rPr>
      </w:pPr>
    </w:p>
    <w:p>
      <w:pPr>
        <w:spacing w:beforeLines="50" w:afterLines="50" w:line="360" w:lineRule="auto"/>
        <w:jc w:val="center"/>
        <w:rPr>
          <w:rFonts w:ascii="宋体" w:hAnsi="宋体"/>
          <w:b/>
          <w:color w:val="000000"/>
          <w:sz w:val="32"/>
          <w:szCs w:val="32"/>
          <w:shd w:val="clear" w:color="auto" w:fill="FFFFFF"/>
        </w:rPr>
      </w:pPr>
    </w:p>
    <w:p>
      <w:pPr>
        <w:spacing w:beforeLines="50" w:afterLines="50" w:line="360" w:lineRule="auto"/>
        <w:jc w:val="center"/>
        <w:rPr>
          <w:rFonts w:ascii="宋体" w:hAnsi="宋体"/>
          <w:b/>
          <w:color w:val="000000"/>
          <w:sz w:val="32"/>
          <w:szCs w:val="32"/>
          <w:shd w:val="clear" w:color="auto" w:fill="FFFFFF"/>
        </w:rPr>
      </w:pPr>
    </w:p>
    <w:p>
      <w:pPr>
        <w:spacing w:beforeLines="50" w:afterLines="50" w:line="360" w:lineRule="auto"/>
        <w:jc w:val="center"/>
        <w:rPr>
          <w:rFonts w:ascii="宋体" w:hAnsi="宋体"/>
          <w:b/>
          <w:color w:val="000000"/>
          <w:sz w:val="32"/>
          <w:szCs w:val="32"/>
          <w:shd w:val="clear" w:color="auto" w:fill="FFFFFF"/>
        </w:rPr>
      </w:pPr>
    </w:p>
    <w:p>
      <w:pPr>
        <w:spacing w:beforeLines="50" w:afterLines="50" w:line="360" w:lineRule="auto"/>
        <w:jc w:val="center"/>
        <w:rPr>
          <w:rFonts w:ascii="宋体" w:hAnsi="宋体"/>
          <w:b/>
          <w:color w:val="000000"/>
          <w:sz w:val="32"/>
          <w:szCs w:val="32"/>
          <w:shd w:val="clear" w:color="auto" w:fill="FFFFFF"/>
        </w:rPr>
      </w:pPr>
    </w:p>
    <w:p>
      <w:pPr>
        <w:spacing w:beforeLines="50" w:afterLines="50" w:line="360" w:lineRule="auto"/>
        <w:jc w:val="center"/>
        <w:rPr>
          <w:rFonts w:ascii="宋体" w:hAnsi="宋体"/>
          <w:b/>
          <w:color w:val="000000"/>
          <w:sz w:val="32"/>
          <w:szCs w:val="32"/>
          <w:shd w:val="clear" w:color="auto" w:fill="FFFFFF"/>
        </w:rPr>
      </w:pPr>
    </w:p>
    <w:p>
      <w:pPr>
        <w:spacing w:beforeLines="50" w:afterLines="50" w:line="360" w:lineRule="auto"/>
        <w:jc w:val="center"/>
        <w:rPr>
          <w:rFonts w:ascii="宋体" w:hAnsi="宋体"/>
          <w:b/>
          <w:color w:val="000000"/>
          <w:sz w:val="32"/>
          <w:szCs w:val="32"/>
          <w:shd w:val="clear" w:color="auto" w:fill="FFFFFF"/>
        </w:rPr>
      </w:pPr>
    </w:p>
    <w:p>
      <w:pPr>
        <w:spacing w:beforeLines="50" w:afterLines="50" w:line="360" w:lineRule="auto"/>
        <w:rPr>
          <w:rFonts w:ascii="宋体" w:hAnsi="宋体"/>
          <w:sz w:val="24"/>
          <w:szCs w:val="24"/>
        </w:rPr>
      </w:pPr>
    </w:p>
    <w:p>
      <w:pPr>
        <w:spacing w:beforeLines="50" w:afterLines="50" w:line="360" w:lineRule="auto"/>
        <w:jc w:val="center"/>
        <w:rPr>
          <w:rFonts w:asciiTheme="minorEastAsia" w:hAnsiTheme="minorEastAsia" w:eastAsiaTheme="minorEastAsia"/>
          <w:b/>
          <w:sz w:val="24"/>
          <w:szCs w:val="24"/>
          <w:shd w:val="clear" w:color="auto" w:fill="FFFFFF"/>
        </w:rPr>
      </w:pPr>
      <w:bookmarkStart w:id="5" w:name="_Toc528772556"/>
      <w:bookmarkStart w:id="6" w:name="_Toc194311890"/>
      <w:r>
        <w:rPr>
          <w:rFonts w:hint="eastAsia" w:asciiTheme="minorEastAsia" w:hAnsiTheme="minorEastAsia" w:eastAsiaTheme="minorEastAsia"/>
          <w:b/>
          <w:sz w:val="24"/>
          <w:szCs w:val="24"/>
          <w:shd w:val="clear" w:color="auto" w:fill="FFFFFF"/>
        </w:rPr>
        <w:t>§2</w:t>
      </w:r>
      <w:bookmarkEnd w:id="5"/>
      <w:bookmarkEnd w:id="6"/>
      <w:r>
        <w:rPr>
          <w:rFonts w:hint="eastAsia" w:asciiTheme="minorEastAsia" w:hAnsiTheme="minorEastAsia" w:eastAsiaTheme="minorEastAsia"/>
          <w:b/>
          <w:sz w:val="24"/>
          <w:szCs w:val="24"/>
          <w:shd w:val="clear" w:color="auto" w:fill="FFFFFF"/>
        </w:rPr>
        <w:t>产品概况</w:t>
      </w:r>
    </w:p>
    <w:p>
      <w:pPr>
        <w:spacing w:beforeLines="50" w:afterLines="50" w:line="360" w:lineRule="auto"/>
        <w:jc w:val="center"/>
        <w:rPr>
          <w:rFonts w:asciiTheme="minorEastAsia" w:hAnsiTheme="minorEastAsia" w:eastAsiaTheme="minorEastAsia"/>
          <w:b/>
          <w:sz w:val="24"/>
          <w:szCs w:val="24"/>
          <w:shd w:val="clear" w:color="auto" w:fill="FFFFFF"/>
        </w:rPr>
      </w:pPr>
    </w:p>
    <w:tbl>
      <w:tblPr>
        <w:tblStyle w:val="11"/>
        <w:tblpPr w:leftFromText="180" w:rightFromText="180" w:vertAnchor="text" w:horzAnchor="margin" w:tblpY="81"/>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007"/>
        <w:gridCol w:w="55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szCs w:val="21"/>
                <w:shd w:val="clear" w:color="auto" w:fill="FFFFFF"/>
              </w:rPr>
              <w:t>产品名称</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kern w:val="0"/>
                <w:szCs w:val="21"/>
                <w:shd w:val="clear" w:color="auto" w:fill="FFFFFF"/>
              </w:rPr>
            </w:pPr>
            <w:r>
              <w:rPr>
                <w:rFonts w:ascii="宋体" w:hAnsi="宋体"/>
                <w:kern w:val="0"/>
                <w:szCs w:val="21"/>
                <w:shd w:val="clear" w:color="auto" w:fill="FFFFFF"/>
              </w:rPr>
              <w:t>超值宝1年53期理财产品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szCs w:val="21"/>
                <w:shd w:val="clear" w:color="auto" w:fill="FFFFFF"/>
              </w:rPr>
              <w:t>产品登记编码</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kern w:val="0"/>
                <w:szCs w:val="21"/>
                <w:shd w:val="clear" w:color="auto" w:fill="FFFFFF"/>
              </w:rPr>
            </w:pPr>
            <w:r>
              <w:rPr>
                <w:rFonts w:ascii="宋体" w:hAnsi="宋体"/>
                <w:kern w:val="0"/>
                <w:szCs w:val="21"/>
                <w:shd w:val="clear" w:color="auto" w:fill="FFFFFF"/>
              </w:rPr>
              <w:t>C1188320000107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szCs w:val="21"/>
                <w:shd w:val="clear" w:color="auto" w:fill="FFFFFF"/>
              </w:rPr>
              <w:t>报告期末产品份额总额</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cs="宋体"/>
                <w:color w:val="000000"/>
                <w:sz w:val="22"/>
                <w:szCs w:val="22"/>
              </w:rPr>
            </w:pPr>
            <w:r>
              <w:rPr>
                <w:rFonts w:ascii="宋体" w:hAnsi="宋体"/>
                <w:kern w:val="0"/>
                <w:szCs w:val="21"/>
                <w:shd w:val="clear" w:color="auto" w:fill="FFFFFF"/>
              </w:rPr>
              <w:t>90,000,000.00份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szCs w:val="21"/>
                <w:shd w:val="clear" w:color="auto" w:fill="FFFFFF"/>
              </w:rPr>
              <w:t>报告期末产品存续规模</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cs="宋体"/>
                <w:color w:val="000000"/>
                <w:sz w:val="22"/>
                <w:szCs w:val="22"/>
              </w:rPr>
            </w:pPr>
            <w:r>
              <w:rPr>
                <w:rFonts w:ascii="宋体" w:hAnsi="宋体"/>
                <w:szCs w:val="21"/>
                <w:shd w:val="clear" w:color="auto" w:fill="FFFFFF"/>
              </w:rPr>
              <w:t>93,148,753.53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szCs w:val="21"/>
                <w:shd w:val="clear" w:color="auto" w:fill="FFFFFF"/>
              </w:rPr>
              <w:t>投资类型</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kern w:val="0"/>
                <w:szCs w:val="21"/>
                <w:shd w:val="clear" w:color="auto" w:fill="FFFFFF"/>
              </w:rPr>
            </w:pPr>
            <w:r>
              <w:rPr>
                <w:rFonts w:hint="eastAsia" w:ascii="宋体" w:hAnsi="宋体"/>
                <w:color w:val="FF0000"/>
                <w:kern w:val="0"/>
                <w:szCs w:val="21"/>
                <w:shd w:val="clear" w:color="auto" w:fill="FFFFFF"/>
              </w:rPr>
              <w:t>固定收益类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szCs w:val="21"/>
                <w:shd w:val="clear" w:color="auto" w:fill="FFFFFF"/>
              </w:rPr>
              <w:t>投资标的</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kern w:val="0"/>
                <w:szCs w:val="21"/>
                <w:shd w:val="clear" w:color="auto" w:fill="FFFFFF"/>
              </w:rPr>
            </w:pPr>
            <w:r>
              <w:rPr>
                <w:rFonts w:hint="eastAsia" w:ascii="宋体" w:hAnsi="宋体"/>
                <w:color w:val="FF0000"/>
                <w:kern w:val="0"/>
                <w:szCs w:val="21"/>
                <w:shd w:val="clear" w:color="auto" w:fill="FFFFFF"/>
              </w:rPr>
              <w:t>本期产品理财资金投资于符合监管要求的投资工具，包括：现金类资产、货币类资产、标准化固定收益类资产、符合前述投向的信托计划及资产管理计划；投资于现金类资产、货币类资产、标准化固定收益类资产及符合前述投向的信托计划、资产管理计划的比例为80%-100%；其他符合监管要求的资产0%-20%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szCs w:val="21"/>
                <w:shd w:val="clear" w:color="auto" w:fill="FFFFFF"/>
              </w:rPr>
              <w:t>投资策略</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color w:val="FF0000"/>
                <w:kern w:val="0"/>
                <w:szCs w:val="21"/>
                <w:shd w:val="clear" w:color="auto" w:fill="FFFFFF"/>
              </w:rPr>
              <w:t>管理人在充分研究宏观市场形势以及微观市场主体的基础上，采取积极主动的投资管理策略，通过定性与定量分析，对利率变化趋势、收益率曲线移动方向、信用利差等影响固定收益投资品价格的因素进行评估，对不同投资品种运用不同的投资策略。在信用风险可控的前提下，寻求组合流动性与收益的最佳配比，力求持续取得稳健或超过业绩比较基准的收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szCs w:val="21"/>
                <w:shd w:val="clear" w:color="auto" w:fill="FFFFFF"/>
              </w:rPr>
              <w:t>产品</w:t>
            </w:r>
            <w:r>
              <w:rPr>
                <w:rFonts w:ascii="宋体" w:hAnsi="宋体"/>
                <w:szCs w:val="21"/>
                <w:shd w:val="clear" w:color="auto" w:fill="FFFFFF"/>
              </w:rPr>
              <w:t>费率</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szCs w:val="21"/>
                <w:shd w:val="clear" w:color="auto" w:fill="FFFFFF"/>
              </w:rPr>
              <w:t>本产品收取固定销售费</w:t>
            </w:r>
            <w:r>
              <w:rPr>
                <w:rFonts w:ascii="宋体" w:hAnsi="宋体"/>
                <w:color w:val="FF0000"/>
                <w:szCs w:val="21"/>
                <w:shd w:val="clear" w:color="auto" w:fill="FFFFFF"/>
              </w:rPr>
              <w:t>0.20000</w:t>
            </w:r>
            <w:r>
              <w:rPr>
                <w:rFonts w:hint="eastAsia" w:ascii="宋体" w:hAnsi="宋体"/>
                <w:color w:val="FF0000"/>
                <w:szCs w:val="21"/>
                <w:shd w:val="clear" w:color="auto" w:fill="FFFFFF"/>
              </w:rPr>
              <w:t>%/年</w:t>
            </w:r>
            <w:r>
              <w:rPr>
                <w:rFonts w:hint="eastAsia" w:ascii="宋体" w:hAnsi="宋体"/>
                <w:szCs w:val="21"/>
                <w:shd w:val="clear" w:color="auto" w:fill="FFFFFF"/>
              </w:rPr>
              <w:t>，固定管理费</w:t>
            </w:r>
            <w:r>
              <w:rPr>
                <w:rFonts w:ascii="宋体" w:hAnsi="宋体"/>
                <w:color w:val="FF0000"/>
                <w:szCs w:val="21"/>
                <w:shd w:val="clear" w:color="auto" w:fill="FFFFFF"/>
              </w:rPr>
              <w:t>0.30000</w:t>
            </w:r>
            <w:r>
              <w:rPr>
                <w:rFonts w:hint="eastAsia" w:ascii="宋体" w:hAnsi="宋体"/>
                <w:color w:val="FF0000"/>
                <w:szCs w:val="21"/>
                <w:shd w:val="clear" w:color="auto" w:fill="FFFFFF"/>
              </w:rPr>
              <w:t>%/年</w:t>
            </w:r>
            <w:r>
              <w:rPr>
                <w:rFonts w:hint="eastAsia" w:ascii="宋体" w:hAnsi="宋体"/>
                <w:szCs w:val="21"/>
                <w:shd w:val="clear" w:color="auto" w:fill="FFFFFF"/>
              </w:rPr>
              <w:t>、固定托管费</w:t>
            </w:r>
            <w:r>
              <w:rPr>
                <w:rFonts w:ascii="宋体" w:hAnsi="宋体"/>
                <w:color w:val="FF0000"/>
                <w:szCs w:val="21"/>
                <w:shd w:val="clear" w:color="auto" w:fill="FFFFFF"/>
              </w:rPr>
              <w:t>0.02000</w:t>
            </w:r>
            <w:r>
              <w:rPr>
                <w:rFonts w:hint="eastAsia" w:ascii="宋体" w:hAnsi="宋体"/>
                <w:color w:val="FF0000"/>
                <w:szCs w:val="21"/>
                <w:shd w:val="clear" w:color="auto" w:fill="FFFFFF"/>
              </w:rPr>
              <w:t>%/年</w:t>
            </w:r>
            <w:r>
              <w:rPr>
                <w:rFonts w:hint="eastAsia" w:ascii="宋体" w:hAnsi="宋体"/>
                <w:szCs w:val="21"/>
                <w:shd w:val="clear" w:color="auto" w:fill="FFFFFF"/>
              </w:rPr>
              <w:t>和超额业绩报酬（如有），上述费用在计算产品单位净值前扣除。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szCs w:val="21"/>
                <w:shd w:val="clear" w:color="auto" w:fill="FFFFFF"/>
              </w:rPr>
              <w:t>成立日</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p>
          <w:p>
            <w:pPr>
              <w:rPr>
                <w:rFonts w:ascii="宋体" w:hAnsi="宋体"/>
                <w:szCs w:val="21"/>
                <w:shd w:val="clear" w:color="auto" w:fill="FFFFFF"/>
              </w:rPr>
            </w:pPr>
            <w:r>
              <w:rPr>
                <w:rFonts w:ascii="宋体" w:hAnsi="宋体"/>
                <w:szCs w:val="21"/>
                <w:shd w:val="clear" w:color="auto" w:fill="FFFFFF"/>
              </w:rPr>
              <w:t>2020年10月27日</w:t>
            </w:r>
          </w:p>
          <w:p>
            <w:pPr>
              <w:rPr>
                <w:rFonts w:ascii="宋体" w:hAnsi="宋体"/>
                <w:szCs w:val="21"/>
                <w:shd w:val="clear" w:color="auto" w:fill="FFFFFF"/>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szCs w:val="21"/>
                <w:shd w:val="clear" w:color="auto" w:fill="FFFFFF"/>
              </w:rPr>
              <w:t>终止日</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ascii="宋体" w:hAnsi="宋体"/>
                <w:szCs w:val="21"/>
                <w:shd w:val="clear" w:color="auto" w:fill="FFFFFF"/>
              </w:rPr>
              <w:t>2021年10月27日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szCs w:val="21"/>
                <w:shd w:val="clear" w:color="auto" w:fill="FFFFFF"/>
              </w:rPr>
              <w:t>估值方法</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FF0000"/>
                <w:szCs w:val="21"/>
                <w:shd w:val="clear" w:color="auto" w:fill="FFFFFF"/>
              </w:rPr>
            </w:pPr>
            <w:r>
              <w:rPr>
                <w:rFonts w:hint="eastAsia" w:ascii="宋体" w:hAnsi="宋体"/>
                <w:color w:val="FF0000"/>
                <w:szCs w:val="21"/>
                <w:shd w:val="clear" w:color="auto" w:fill="FFFFFF"/>
              </w:rPr>
              <w:t>1.现金、银行存款以本金列示，逐日计提银行存款利息，按约定利率确认存款利息收入；2.对于未在交易所上市的货币市场基金，按基金管理公司披露的估值日前一交易日的每万份收益计提收益；3.标准化固定收益类资产：交易所及银行间公开发行的债券按市场价格估值，按中央国债登记结算有限责任公司或中国证券登记结算有限公司公布的在估值日的估值净价进行估值；交易所上市的资产支持证券、中小企业私募债券等非公开发行债券，由于不存在活跃交易、且估值技术难以可靠计量公允价值，按成本估值；4.投资资产管理产品、非标债权或其他特殊目的载体等的估值：（1）资产管理产品、非标债权或其他特殊目的载体等披露份额净值的，按最近一日的份额净值估值。（2）资产管理产品、非标债权或其他特殊目的载体等披露收益率的，按成本估值，按收益率计提收益；5.其它符合监管要求的资产，存在可以确定公允价值的，以公允价值估值；公允价值不能确定的，按取得时成本按摊余成本法估值；6.国家有最新规定的，按其规定进行估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szCs w:val="21"/>
                <w:shd w:val="clear" w:color="auto" w:fill="FFFFFF"/>
              </w:rPr>
              <w:t>杠杆水平</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ascii="宋体" w:hAnsi="宋体"/>
                <w:szCs w:val="21"/>
                <w:shd w:val="clear" w:color="auto" w:fill="FFFFFF"/>
              </w:rPr>
              <w:t>100.34%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szCs w:val="21"/>
                <w:shd w:val="clear" w:color="auto" w:fill="FFFFFF"/>
              </w:rPr>
              <w:t>业绩比较基准</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ascii="宋体" w:hAnsi="宋体"/>
                <w:szCs w:val="21"/>
                <w:shd w:val="clear" w:color="auto" w:fill="FFFFFF"/>
              </w:rPr>
              <w:t>5.6%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szCs w:val="21"/>
                <w:shd w:val="clear" w:color="auto" w:fill="FFFFFF"/>
              </w:rPr>
              <w:t>风险等级</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color w:val="FF0000"/>
                <w:szCs w:val="21"/>
                <w:shd w:val="clear" w:color="auto" w:fill="FFFFFF"/>
              </w:rPr>
              <w:t>二级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szCs w:val="21"/>
                <w:shd w:val="clear" w:color="auto" w:fill="FFFFFF"/>
              </w:rPr>
              <w:t>产品管理人</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ascii="宋体" w:hAnsi="宋体"/>
                <w:szCs w:val="21"/>
                <w:shd w:val="clear" w:color="auto" w:fill="FFFFFF"/>
              </w:rPr>
              <w:t>贵阳农村商业银行股份有限公司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szCs w:val="21"/>
                <w:shd w:val="clear" w:color="auto" w:fill="FFFFFF"/>
              </w:rPr>
              <w:t>产品托管人</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color w:val="FF0000"/>
                <w:szCs w:val="21"/>
                <w:shd w:val="clear" w:color="auto" w:fill="FFFFFF"/>
              </w:rPr>
              <w:t>招商银行股份有限公司贵阳分行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szCs w:val="21"/>
                <w:shd w:val="clear" w:color="auto" w:fill="FFFFFF"/>
              </w:rPr>
              <w:t>投资账户信息</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kern w:val="0"/>
                <w:szCs w:val="21"/>
                <w:shd w:val="clear" w:color="auto" w:fill="FFFFFF"/>
              </w:rPr>
            </w:pPr>
            <w:r>
              <w:rPr>
                <w:rFonts w:hint="eastAsia" w:ascii="宋体" w:hAnsi="宋体"/>
                <w:color w:val="FF0000"/>
                <w:szCs w:val="21"/>
                <w:shd w:val="clear" w:color="auto" w:fill="FFFFFF"/>
              </w:rPr>
              <w:t>户名：贵阳农村商业银行股份有限公司-超值宝1年53期理财产品</w:t>
            </w:r>
            <w:r>
              <w:rPr>
                <w:rFonts w:ascii="宋体" w:hAnsi="宋体"/>
                <w:kern w:val="0"/>
                <w:szCs w:val="21"/>
                <w:shd w:val="clear" w:color="auto" w:fill="FFFFFF"/>
              </w:rPr>
              <w:t xml:space="preserve"> </w:t>
            </w:r>
          </w:p>
          <w:p>
            <w:pPr>
              <w:rPr>
                <w:rFonts w:ascii="宋体" w:hAnsi="宋体"/>
                <w:szCs w:val="21"/>
                <w:shd w:val="clear" w:color="auto" w:fill="FFFFFF"/>
              </w:rPr>
            </w:pPr>
            <w:r>
              <w:rPr>
                <w:rFonts w:hint="eastAsia" w:ascii="宋体" w:hAnsi="宋体"/>
                <w:color w:val="FF0000"/>
                <w:szCs w:val="21"/>
                <w:shd w:val="clear" w:color="auto" w:fill="FFFFFF"/>
              </w:rPr>
              <w:t>账号：</w:t>
            </w:r>
            <w:r>
              <w:rPr>
                <w:rFonts w:ascii="宋体" w:hAnsi="宋体"/>
                <w:color w:val="FF0000"/>
                <w:szCs w:val="21"/>
                <w:shd w:val="clear" w:color="auto" w:fill="FFFFFF"/>
              </w:rPr>
              <w:t>851900159610903</w:t>
            </w:r>
          </w:p>
          <w:p>
            <w:pPr>
              <w:rPr>
                <w:rFonts w:ascii="宋体" w:hAnsi="宋体"/>
                <w:szCs w:val="21"/>
                <w:shd w:val="clear" w:color="auto" w:fill="FFFFFF"/>
              </w:rPr>
            </w:pPr>
            <w:r>
              <w:rPr>
                <w:rFonts w:hint="eastAsia" w:ascii="宋体" w:hAnsi="宋体"/>
                <w:color w:val="FF0000"/>
                <w:szCs w:val="21"/>
                <w:shd w:val="clear" w:color="auto" w:fill="FFFFFF"/>
              </w:rPr>
              <w:t>开户行：招商银行股份有限公司贵阳分行</w:t>
            </w:r>
          </w:p>
        </w:tc>
      </w:tr>
    </w:tbl>
    <w:p>
      <w:pPr>
        <w:widowControl/>
        <w:jc w:val="left"/>
        <w:rPr>
          <w:rFonts w:asciiTheme="minorEastAsia" w:hAnsiTheme="minorEastAsia" w:eastAsiaTheme="minorEastAsia"/>
          <w:b/>
          <w:sz w:val="24"/>
          <w:szCs w:val="24"/>
        </w:rPr>
      </w:pPr>
    </w:p>
    <w:p>
      <w:pPr>
        <w:spacing w:beforeLines="50" w:afterLines="50" w:line="360" w:lineRule="auto"/>
        <w:jc w:val="center"/>
        <w:rPr>
          <w:rFonts w:asciiTheme="minorEastAsia" w:hAnsiTheme="minorEastAsia" w:eastAsiaTheme="minorEastAsia"/>
          <w:b/>
          <w:sz w:val="24"/>
          <w:szCs w:val="24"/>
        </w:rPr>
      </w:pPr>
      <w:r>
        <w:rPr>
          <w:rFonts w:hint="eastAsia" w:asciiTheme="minorEastAsia" w:hAnsiTheme="minorEastAsia" w:eastAsiaTheme="minorEastAsia"/>
          <w:b/>
          <w:sz w:val="24"/>
          <w:szCs w:val="24"/>
        </w:rPr>
        <w:t>§</w:t>
      </w:r>
      <w:r>
        <w:rPr>
          <w:rFonts w:asciiTheme="minorEastAsia" w:hAnsiTheme="minorEastAsia" w:eastAsiaTheme="minorEastAsia"/>
          <w:b/>
          <w:sz w:val="24"/>
          <w:szCs w:val="24"/>
        </w:rPr>
        <w:t>3</w:t>
      </w:r>
      <w:r>
        <w:rPr>
          <w:rFonts w:hint="eastAsia" w:asciiTheme="minorEastAsia" w:hAnsiTheme="minorEastAsia" w:eastAsiaTheme="minorEastAsia"/>
          <w:b/>
          <w:sz w:val="24"/>
          <w:szCs w:val="24"/>
        </w:rPr>
        <w:t xml:space="preserve">  主要财务指标和净值表现</w:t>
      </w:r>
    </w:p>
    <w:p>
      <w:pPr>
        <w:spacing w:beforeLines="50" w:line="360" w:lineRule="exact"/>
        <w:rPr>
          <w:b/>
          <w:color w:val="000000"/>
        </w:rPr>
      </w:pPr>
      <w:r>
        <w:rPr>
          <w:b/>
          <w:color w:val="000000"/>
        </w:rPr>
        <w:t xml:space="preserve">3.1 </w:t>
      </w:r>
      <w:r>
        <w:rPr>
          <w:rFonts w:hint="eastAsia"/>
          <w:b/>
          <w:color w:val="000000"/>
        </w:rPr>
        <w:t>主要财务指标</w:t>
      </w:r>
    </w:p>
    <w:p>
      <w:pPr>
        <w:spacing w:beforeLines="50" w:line="360" w:lineRule="exact"/>
        <w:jc w:val="right"/>
        <w:rPr>
          <w:color w:val="000000"/>
        </w:rPr>
      </w:pPr>
      <w:r>
        <w:rPr>
          <w:rFonts w:hint="eastAsia"/>
          <w:color w:val="000000"/>
        </w:rPr>
        <w:t>单位：人民币元</w:t>
      </w:r>
    </w:p>
    <w:tbl>
      <w:tblPr>
        <w:tblStyle w:val="12"/>
        <w:tblW w:w="0" w:type="auto"/>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2660"/>
        <w:gridCol w:w="5862"/>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65" w:hRule="atLeast"/>
        </w:trPr>
        <w:tc>
          <w:tcPr>
            <w:tcW w:w="266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szCs w:val="21"/>
                <w:shd w:val="clear" w:color="auto" w:fill="FFFFFF"/>
              </w:rPr>
            </w:pPr>
            <w:r>
              <w:rPr>
                <w:rFonts w:hint="eastAsia" w:ascii="宋体" w:hAnsi="宋体"/>
                <w:szCs w:val="21"/>
                <w:shd w:val="clear" w:color="auto" w:fill="FFFFFF"/>
              </w:rPr>
              <w:t>主要财务指标</w:t>
            </w:r>
          </w:p>
        </w:tc>
        <w:tc>
          <w:tcPr>
            <w:tcW w:w="5862"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szCs w:val="21"/>
                <w:shd w:val="clear" w:color="auto" w:fill="FFFFFF"/>
              </w:rPr>
            </w:pPr>
            <w:r>
              <w:rPr>
                <w:rFonts w:hint="eastAsia" w:ascii="宋体" w:hAnsi="宋体"/>
                <w:szCs w:val="21"/>
                <w:shd w:val="clear" w:color="auto" w:fill="FFFFFF"/>
              </w:rPr>
              <w:t>报告期（</w:t>
            </w:r>
            <w:r>
              <w:rPr>
                <w:rFonts w:ascii="宋体" w:hAnsi="宋体"/>
                <w:szCs w:val="21"/>
                <w:shd w:val="clear" w:color="auto" w:fill="FFFFFF"/>
              </w:rPr>
              <w:t>2021年01月01日</w:t>
            </w:r>
            <w:r>
              <w:rPr>
                <w:rFonts w:hint="eastAsia" w:ascii="宋体" w:hAnsi="宋体"/>
                <w:szCs w:val="21"/>
                <w:shd w:val="clear" w:color="auto" w:fill="FFFFFF"/>
              </w:rPr>
              <w:t>-</w:t>
            </w:r>
            <w:r>
              <w:rPr>
                <w:rFonts w:ascii="宋体" w:hAnsi="宋体"/>
                <w:szCs w:val="21"/>
                <w:shd w:val="clear" w:color="auto" w:fill="FFFFFF"/>
              </w:rPr>
              <w:t>2021年06月30日</w:t>
            </w:r>
            <w:r>
              <w:rPr>
                <w:rFonts w:hint="eastAsia" w:ascii="宋体" w:hAnsi="宋体"/>
                <w:szCs w:val="21"/>
                <w:shd w:val="clear" w:color="auto" w:fill="FFFFFF"/>
              </w:rPr>
              <w:t>）</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66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szCs w:val="21"/>
                <w:shd w:val="clear" w:color="auto" w:fill="FFFFFF"/>
              </w:rPr>
            </w:pPr>
            <w:r>
              <w:rPr>
                <w:rFonts w:hint="eastAsia" w:ascii="宋体" w:hAnsi="宋体"/>
                <w:szCs w:val="21"/>
                <w:shd w:val="clear" w:color="auto" w:fill="FFFFFF"/>
              </w:rPr>
              <w:t>1.</w:t>
            </w:r>
            <w:r>
              <w:rPr>
                <w:rFonts w:hint="eastAsia" w:ascii="宋体" w:hAnsi="宋体"/>
                <w:szCs w:val="21"/>
              </w:rPr>
              <w:t>本期已实现收益</w:t>
            </w:r>
          </w:p>
        </w:tc>
        <w:tc>
          <w:tcPr>
            <w:tcW w:w="5862"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szCs w:val="21"/>
                <w:shd w:val="clear" w:color="auto" w:fill="FFFFFF"/>
              </w:rPr>
            </w:pPr>
            <w:r>
              <w:rPr>
                <w:rFonts w:ascii="宋体" w:hAnsi="宋体"/>
                <w:szCs w:val="21"/>
                <w:shd w:val="clear" w:color="auto" w:fill="FFFFFF"/>
              </w:rPr>
              <w:t>-236,509.45</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66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szCs w:val="21"/>
                <w:shd w:val="clear" w:color="auto" w:fill="FFFFFF"/>
              </w:rPr>
            </w:pPr>
            <w:r>
              <w:rPr>
                <w:rFonts w:hint="eastAsia" w:ascii="宋体" w:hAnsi="宋体"/>
                <w:szCs w:val="21"/>
                <w:shd w:val="clear" w:color="auto" w:fill="FFFFFF"/>
              </w:rPr>
              <w:t>2.本期利润</w:t>
            </w:r>
          </w:p>
        </w:tc>
        <w:tc>
          <w:tcPr>
            <w:tcW w:w="5862"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szCs w:val="21"/>
                <w:shd w:val="clear" w:color="auto" w:fill="FFFFFF"/>
              </w:rPr>
            </w:pPr>
            <w:r>
              <w:rPr>
                <w:rFonts w:ascii="宋体" w:hAnsi="宋体"/>
                <w:szCs w:val="21"/>
                <w:shd w:val="clear" w:color="auto" w:fill="FFFFFF"/>
              </w:rPr>
              <w:t>2,906,166.32</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66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szCs w:val="21"/>
                <w:shd w:val="clear" w:color="auto" w:fill="FFFFFF"/>
              </w:rPr>
            </w:pPr>
            <w:r>
              <w:rPr>
                <w:rFonts w:hint="eastAsia" w:ascii="宋体" w:hAnsi="宋体"/>
                <w:szCs w:val="21"/>
                <w:shd w:val="clear" w:color="auto" w:fill="FFFFFF"/>
              </w:rPr>
              <w:t>3.期末产品资产净值</w:t>
            </w:r>
          </w:p>
        </w:tc>
        <w:tc>
          <w:tcPr>
            <w:tcW w:w="5862"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szCs w:val="21"/>
                <w:shd w:val="clear" w:color="auto" w:fill="FFFFFF"/>
              </w:rPr>
            </w:pPr>
            <w:r>
              <w:rPr>
                <w:rFonts w:ascii="宋体" w:hAnsi="宋体"/>
                <w:szCs w:val="21"/>
                <w:shd w:val="clear" w:color="auto" w:fill="FFFFFF"/>
              </w:rPr>
              <w:t>93,148,753.53</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66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szCs w:val="21"/>
                <w:shd w:val="clear" w:color="auto" w:fill="FFFFFF"/>
              </w:rPr>
            </w:pPr>
            <w:r>
              <w:rPr>
                <w:rFonts w:hint="eastAsia" w:ascii="宋体" w:hAnsi="宋体"/>
                <w:szCs w:val="21"/>
                <w:shd w:val="clear" w:color="auto" w:fill="FFFFFF"/>
              </w:rPr>
              <w:t>4.期末产品份额净值</w:t>
            </w:r>
          </w:p>
        </w:tc>
        <w:tc>
          <w:tcPr>
            <w:tcW w:w="5862"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szCs w:val="21"/>
                <w:shd w:val="clear" w:color="auto" w:fill="FFFFFF"/>
              </w:rPr>
            </w:pPr>
            <w:r>
              <w:rPr>
                <w:rFonts w:ascii="宋体" w:hAnsi="宋体"/>
                <w:szCs w:val="21"/>
                <w:shd w:val="clear" w:color="auto" w:fill="FFFFFF"/>
              </w:rPr>
              <w:t>1.035</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66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szCs w:val="21"/>
                <w:shd w:val="clear" w:color="auto" w:fill="FFFFFF"/>
              </w:rPr>
            </w:pPr>
            <w:r>
              <w:rPr>
                <w:rFonts w:hint="eastAsia" w:ascii="宋体" w:hAnsi="宋体"/>
                <w:szCs w:val="21"/>
                <w:shd w:val="clear" w:color="auto" w:fill="FFFFFF"/>
              </w:rPr>
              <w:t>5.期末产品份额累计净值</w:t>
            </w:r>
          </w:p>
        </w:tc>
        <w:tc>
          <w:tcPr>
            <w:tcW w:w="5862"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szCs w:val="21"/>
                <w:shd w:val="clear" w:color="auto" w:fill="FFFFFF"/>
              </w:rPr>
            </w:pPr>
            <w:r>
              <w:rPr>
                <w:rFonts w:ascii="宋体" w:hAnsi="宋体"/>
                <w:szCs w:val="21"/>
                <w:shd w:val="clear" w:color="auto" w:fill="FFFFFF"/>
              </w:rPr>
              <w:t>1.035</w:t>
            </w:r>
          </w:p>
        </w:tc>
      </w:tr>
    </w:tbl>
    <w:p>
      <w:pPr>
        <w:spacing w:beforeLines="50" w:line="360" w:lineRule="exact"/>
      </w:pPr>
      <w:r>
        <w:rPr>
          <w:rFonts w:hint="eastAsia"/>
        </w:rPr>
        <w:t>注：</w:t>
      </w:r>
      <w:r>
        <w:t>1</w:t>
      </w:r>
      <w:r>
        <w:rPr>
          <w:rFonts w:hint="eastAsia"/>
        </w:rPr>
        <w:t>、本期收益为本期已实现收益加上本期公允价值变动收益；</w:t>
      </w:r>
    </w:p>
    <w:p>
      <w:pPr>
        <w:spacing w:beforeLines="50" w:line="360" w:lineRule="exact"/>
      </w:pPr>
      <w:r>
        <w:t xml:space="preserve">    2</w:t>
      </w:r>
      <w:r>
        <w:rPr>
          <w:rFonts w:hint="eastAsia"/>
        </w:rPr>
        <w:t>、除产品合同和招募说明书另有规定外，期末产品份额净值按四舍五入法保留至小数点后第</w:t>
      </w:r>
      <w:r>
        <w:t>4</w:t>
      </w:r>
      <w:r>
        <w:rPr>
          <w:rFonts w:hint="eastAsia"/>
        </w:rPr>
        <w:t>位，其他财务指标保留至小数点后第</w:t>
      </w:r>
      <w:r>
        <w:t>2</w:t>
      </w:r>
      <w:r>
        <w:rPr>
          <w:rFonts w:hint="eastAsia"/>
        </w:rPr>
        <w:t>位；</w:t>
      </w:r>
    </w:p>
    <w:p>
      <w:pPr>
        <w:spacing w:beforeLines="50" w:line="360" w:lineRule="exact"/>
        <w:ind w:firstLine="420" w:firstLineChars="200"/>
      </w:pPr>
      <w:r>
        <w:t>3</w:t>
      </w:r>
      <w:r>
        <w:rPr>
          <w:rFonts w:hint="eastAsia"/>
        </w:rPr>
        <w:t>、期末即最后一个自然日；</w:t>
      </w:r>
    </w:p>
    <w:p>
      <w:pPr>
        <w:spacing w:beforeLines="50" w:line="360" w:lineRule="exact"/>
        <w:rPr>
          <w:color w:val="000000"/>
        </w:rPr>
      </w:pPr>
      <w:r>
        <w:tab/>
      </w:r>
      <w:r>
        <w:t>4</w:t>
      </w:r>
      <w:r>
        <w:rPr>
          <w:rFonts w:hint="eastAsia"/>
        </w:rPr>
        <w:t>、</w:t>
      </w:r>
      <w:r>
        <w:rPr>
          <w:rFonts w:hint="eastAsia"/>
          <w:color w:val="000000"/>
        </w:rPr>
        <w:t>本报告期内，本理财计划未进行分红。</w:t>
      </w:r>
    </w:p>
    <w:p>
      <w:pPr>
        <w:spacing w:beforeLines="50" w:line="360" w:lineRule="exact"/>
        <w:rPr>
          <w:color w:val="000000"/>
        </w:rPr>
      </w:pPr>
    </w:p>
    <w:p>
      <w:pPr>
        <w:spacing w:beforeLines="50" w:line="360" w:lineRule="exact"/>
        <w:rPr>
          <w:b/>
          <w:color w:val="000000"/>
        </w:rPr>
      </w:pPr>
      <w:r>
        <w:rPr>
          <w:b/>
          <w:color w:val="000000"/>
        </w:rPr>
        <w:t xml:space="preserve">3.2 </w:t>
      </w:r>
      <w:r>
        <w:rPr>
          <w:rFonts w:hint="eastAsia"/>
          <w:b/>
          <w:color w:val="000000"/>
        </w:rPr>
        <w:t>产品净值表现</w:t>
      </w:r>
    </w:p>
    <w:p>
      <w:pPr>
        <w:spacing w:beforeLines="50" w:line="360" w:lineRule="exact"/>
      </w:pPr>
      <w:r>
        <w:t>3.2.1</w:t>
      </w:r>
      <w:r>
        <w:rPr>
          <w:rFonts w:hint="eastAsia"/>
        </w:rPr>
        <w:t>产品份额净值增长率与同期业绩比较基准收益率的比较</w:t>
      </w:r>
    </w:p>
    <w:tbl>
      <w:tblPr>
        <w:tblStyle w:val="11"/>
        <w:tblW w:w="7714" w:type="dxa"/>
        <w:tblInd w:w="8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294"/>
        <w:gridCol w:w="2210"/>
        <w:gridCol w:w="22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trPr>
        <w:tc>
          <w:tcPr>
            <w:tcW w:w="3294" w:type="dxa"/>
            <w:shd w:val="clear" w:color="auto" w:fill="D9D9D9"/>
            <w:vAlign w:val="center"/>
          </w:tcPr>
          <w:p>
            <w:pPr>
              <w:jc w:val="center"/>
              <w:rPr>
                <w:rFonts w:ascii="宋体" w:hAnsi="宋体"/>
                <w:b/>
              </w:rPr>
            </w:pPr>
            <w:r>
              <w:rPr>
                <w:rFonts w:hint="eastAsia"/>
                <w:b/>
              </w:rPr>
              <w:t>阶段</w:t>
            </w:r>
          </w:p>
        </w:tc>
        <w:tc>
          <w:tcPr>
            <w:tcW w:w="2210" w:type="dxa"/>
            <w:shd w:val="clear" w:color="auto" w:fill="D9D9D9"/>
            <w:vAlign w:val="center"/>
          </w:tcPr>
          <w:p>
            <w:pPr>
              <w:jc w:val="center"/>
              <w:rPr>
                <w:rFonts w:ascii="宋体" w:hAnsi="宋体"/>
                <w:b/>
              </w:rPr>
            </w:pPr>
            <w:r>
              <w:rPr>
                <w:rFonts w:hint="eastAsia"/>
                <w:b/>
              </w:rPr>
              <w:t>净值增长率（%）</w:t>
            </w:r>
          </w:p>
        </w:tc>
        <w:tc>
          <w:tcPr>
            <w:tcW w:w="2210" w:type="dxa"/>
            <w:shd w:val="clear" w:color="auto" w:fill="D9D9D9"/>
            <w:vAlign w:val="center"/>
          </w:tcPr>
          <w:p>
            <w:pPr>
              <w:jc w:val="center"/>
              <w:rPr>
                <w:rFonts w:ascii="宋体" w:hAnsi="宋体"/>
                <w:b/>
              </w:rPr>
            </w:pPr>
            <w:r>
              <w:rPr>
                <w:rFonts w:hint="eastAsia"/>
                <w:b/>
              </w:rPr>
              <w:t>业绩比较</w:t>
            </w:r>
            <w:r>
              <w:rPr>
                <w:b/>
              </w:rPr>
              <w:t>基准</w:t>
            </w:r>
            <w:r>
              <w:rPr>
                <w:rFonts w:hint="eastAsia"/>
                <w:b/>
              </w:rPr>
              <w:t>增长率（%）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trPr>
        <w:tc>
          <w:tcPr>
            <w:tcW w:w="3294" w:type="dxa"/>
            <w:vAlign w:val="center"/>
          </w:tcPr>
          <w:p>
            <w:pPr>
              <w:jc w:val="center"/>
              <w:rPr>
                <w:rFonts w:ascii="宋体" w:hAnsi="宋体"/>
              </w:rPr>
            </w:pPr>
            <w:r>
              <w:rPr>
                <w:rFonts w:hint="eastAsia" w:ascii="宋体" w:hAnsi="宋体"/>
              </w:rPr>
              <w:t>当期（</w:t>
            </w:r>
            <w:r>
              <w:rPr>
                <w:rFonts w:ascii="宋体" w:hAnsi="宋体"/>
              </w:rPr>
              <w:t>2021年01月01日</w:t>
            </w:r>
            <w:r>
              <w:rPr>
                <w:rFonts w:hint="eastAsia" w:ascii="宋体" w:hAnsi="宋体"/>
              </w:rPr>
              <w:t>至</w:t>
            </w:r>
            <w:r>
              <w:rPr>
                <w:rFonts w:ascii="宋体" w:hAnsi="宋体"/>
              </w:rPr>
              <w:t>2021年06月30日</w:t>
            </w:r>
            <w:r>
              <w:rPr>
                <w:rFonts w:hint="eastAsia" w:ascii="宋体" w:hAnsi="宋体"/>
              </w:rPr>
              <w:t>）</w:t>
            </w:r>
          </w:p>
        </w:tc>
        <w:tc>
          <w:tcPr>
            <w:tcW w:w="2210" w:type="dxa"/>
            <w:vAlign w:val="center"/>
          </w:tcPr>
          <w:p>
            <w:pPr>
              <w:spacing w:line="300" w:lineRule="auto"/>
              <w:jc w:val="right"/>
              <w:rPr>
                <w:rFonts w:ascii="微软雅黑" w:hAnsi="微软雅黑" w:eastAsia="微软雅黑" w:cs="微软雅黑"/>
              </w:rPr>
            </w:pPr>
            <w:r>
              <w:rPr>
                <w:rFonts w:ascii="宋体" w:hAnsi="宋体"/>
              </w:rPr>
              <w:t>3.22</w:t>
            </w:r>
          </w:p>
        </w:tc>
        <w:tc>
          <w:tcPr>
            <w:tcW w:w="2210" w:type="dxa"/>
            <w:vAlign w:val="center"/>
          </w:tcPr>
          <w:p>
            <w:pPr>
              <w:jc w:val="right"/>
              <w:rPr>
                <w:rFonts w:ascii="宋体" w:hAnsi="宋体"/>
                <w:color w:val="FF0000"/>
              </w:rPr>
            </w:pPr>
            <w:r>
              <w:rPr>
                <w:rFonts w:hint="eastAsia" w:ascii="宋体" w:hAnsi="宋体"/>
              </w:rPr>
              <w:t>2.78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trPr>
        <w:tc>
          <w:tcPr>
            <w:tcW w:w="3294" w:type="dxa"/>
            <w:vAlign w:val="center"/>
          </w:tcPr>
          <w:p>
            <w:pPr>
              <w:jc w:val="center"/>
              <w:rPr>
                <w:rFonts w:ascii="宋体" w:hAnsi="宋体"/>
              </w:rPr>
            </w:pPr>
            <w:r>
              <w:rPr>
                <w:rFonts w:hint="eastAsia" w:ascii="宋体" w:hAnsi="宋体"/>
              </w:rPr>
              <w:t>自产品成立日至今</w:t>
            </w:r>
          </w:p>
        </w:tc>
        <w:tc>
          <w:tcPr>
            <w:tcW w:w="2210" w:type="dxa"/>
            <w:vAlign w:val="center"/>
          </w:tcPr>
          <w:p>
            <w:pPr>
              <w:jc w:val="right"/>
              <w:rPr>
                <w:rFonts w:ascii="宋体" w:hAnsi="宋体"/>
              </w:rPr>
            </w:pPr>
            <w:r>
              <w:rPr>
                <w:rFonts w:ascii="宋体" w:hAnsi="宋体"/>
              </w:rPr>
              <w:t>3.50</w:t>
            </w:r>
            <w:bookmarkStart w:id="7" w:name="OLE_LINK4"/>
            <w:bookmarkEnd w:id="7"/>
            <w:bookmarkStart w:id="8" w:name="OLE_LINK7"/>
            <w:bookmarkEnd w:id="8"/>
          </w:p>
        </w:tc>
        <w:tc>
          <w:tcPr>
            <w:tcW w:w="2210" w:type="dxa"/>
            <w:vAlign w:val="center"/>
          </w:tcPr>
          <w:p>
            <w:pPr>
              <w:jc w:val="right"/>
              <w:rPr>
                <w:rFonts w:ascii="宋体" w:hAnsi="宋体"/>
                <w:color w:val="FF0000"/>
              </w:rPr>
            </w:pPr>
            <w:r>
              <w:rPr>
                <w:rFonts w:hint="eastAsia" w:ascii="宋体" w:hAnsi="宋体"/>
              </w:rPr>
              <w:t>3.79</w:t>
            </w:r>
          </w:p>
        </w:tc>
      </w:tr>
    </w:tbl>
    <w:p>
      <w:pPr>
        <w:spacing w:beforeLines="50" w:line="360" w:lineRule="exact"/>
      </w:pPr>
    </w:p>
    <w:p>
      <w:pPr>
        <w:spacing w:beforeLines="50" w:line="360" w:lineRule="exact"/>
      </w:pPr>
      <w:r>
        <w:t>3.2.2</w:t>
      </w:r>
      <w:r>
        <w:rPr>
          <w:rFonts w:hint="eastAsia"/>
        </w:rPr>
        <w:t>产品累计份额净值增长率与同期业绩比较基准收益率变动比较走势图</w:t>
      </w:r>
    </w:p>
    <w:p>
      <w:pPr>
        <w:spacing w:beforeLines="50" w:afterLines="50" w:line="360" w:lineRule="auto"/>
        <w:jc w:val="center"/>
      </w:pPr>
      <w:r>
        <w:rPr>
          <w:color w:val="FF0000"/>
        </w:rPr>
        <w:drawing>
          <wp:inline distT="0" distB="0" distL="0" distR="0">
            <wp:extent cx="4848225" cy="2171700"/>
            <wp:effectExtent l="19050" t="0" r="9525" b="0"/>
            <wp:docPr id="1"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4"/>
              </a:graphicData>
            </a:graphic>
          </wp:inline>
        </w:drawing>
      </w:r>
    </w:p>
    <w:p>
      <w:pPr>
        <w:spacing w:beforeLines="50" w:afterLines="50" w:line="360" w:lineRule="auto"/>
        <w:jc w:val="center"/>
      </w:pPr>
      <w:r>
        <w:rPr>
          <w:rFonts w:hint="eastAsia" w:asciiTheme="minorEastAsia" w:hAnsiTheme="minorEastAsia" w:eastAsiaTheme="minorEastAsia"/>
          <w:b/>
          <w:sz w:val="24"/>
          <w:szCs w:val="24"/>
        </w:rPr>
        <w:t>§</w:t>
      </w:r>
      <w:r>
        <w:rPr>
          <w:rFonts w:asciiTheme="minorEastAsia" w:hAnsiTheme="minorEastAsia" w:eastAsiaTheme="minorEastAsia"/>
          <w:b/>
          <w:sz w:val="24"/>
          <w:szCs w:val="24"/>
        </w:rPr>
        <w:t>4</w:t>
      </w:r>
      <w:r>
        <w:rPr>
          <w:rFonts w:hint="eastAsia" w:asciiTheme="minorEastAsia" w:hAnsiTheme="minorEastAsia" w:eastAsiaTheme="minorEastAsia"/>
          <w:b/>
          <w:sz w:val="24"/>
          <w:szCs w:val="24"/>
        </w:rPr>
        <w:t xml:space="preserve"> 管理人报告</w:t>
      </w:r>
    </w:p>
    <w:p>
      <w:pPr>
        <w:spacing w:beforeLines="50" w:line="360" w:lineRule="exact"/>
        <w:rPr>
          <w:b/>
          <w:color w:val="000000"/>
        </w:rPr>
      </w:pPr>
      <w:r>
        <w:rPr>
          <w:b/>
          <w:color w:val="000000"/>
        </w:rPr>
        <w:t xml:space="preserve">4.1 </w:t>
      </w:r>
      <w:r>
        <w:rPr>
          <w:rFonts w:hint="eastAsia"/>
          <w:b/>
          <w:color w:val="000000"/>
        </w:rPr>
        <w:t>报告期内产品投资策略和运作分析</w:t>
      </w:r>
    </w:p>
    <w:p>
      <w:pPr>
        <w:spacing w:beforeLines="50" w:line="360" w:lineRule="exact"/>
        <w:ind w:firstLine="420" w:firstLineChars="200"/>
        <w:rPr>
          <w:rFonts w:ascii="宋体" w:hAnsi="宋体"/>
          <w:color w:val="FF0000"/>
          <w:szCs w:val="21"/>
        </w:rPr>
      </w:pPr>
      <w:r>
        <w:rPr>
          <w:rFonts w:hint="eastAsia" w:ascii="宋体" w:hAnsi="宋体"/>
          <w:color w:val="FF0000"/>
          <w:szCs w:val="21"/>
        </w:rPr>
        <w:t>本产品为固定收益类理财产品，资产配置主要包括现金、同业回购等货币市场工具、债券和基金等满足安全性和流动性要求的金融产品，其中债券类配置以风险可控的城投债为主，进一步提高理财产品的收益水平。资产配置策略方面，管理人综合分析并持续跟踪基本面、政策面和市场面等多方面因素，结合宏观经济、国家政策和市场流动性等趋势研判，采取积极主动的投资管理策略，通过自上而下的定性与定量分析，对利率变化趋势、收益率曲线变化趋势、信用利差等影响固定收益资产价格的因素进行评估，对不同投资品种运用差异化投资策略。在信用风险可控的前提下，构建和调整固定收益投资策略，寻求平衡流动性与收益情况的最佳组合，采取票息策略，严格控制组合久期和杠杆水平，力求获得稳健或超过业绩比较基准的投资收益。</w:t>
      </w:r>
    </w:p>
    <w:p>
      <w:pPr>
        <w:spacing w:beforeLines="50" w:line="360" w:lineRule="exact"/>
      </w:pPr>
    </w:p>
    <w:p>
      <w:pPr>
        <w:spacing w:beforeLines="50" w:line="360" w:lineRule="exact"/>
        <w:rPr>
          <w:b/>
          <w:color w:val="000000"/>
        </w:rPr>
      </w:pPr>
      <w:r>
        <w:rPr>
          <w:b/>
          <w:color w:val="000000"/>
        </w:rPr>
        <w:t xml:space="preserve">4.2 </w:t>
      </w:r>
      <w:r>
        <w:rPr>
          <w:rFonts w:hint="eastAsia"/>
          <w:b/>
          <w:color w:val="000000"/>
        </w:rPr>
        <w:t>报告期内产品的业绩表现</w:t>
      </w:r>
    </w:p>
    <w:p>
      <w:pPr>
        <w:spacing w:beforeLines="50" w:line="360" w:lineRule="exact"/>
        <w:ind w:firstLine="420" w:firstLineChars="200"/>
        <w:rPr>
          <w:rFonts w:ascii="宋体" w:hAnsi="宋体"/>
          <w:color w:val="000000"/>
          <w:szCs w:val="21"/>
        </w:rPr>
      </w:pPr>
      <w:r>
        <w:rPr>
          <w:rFonts w:ascii="宋体" w:hAnsi="宋体"/>
          <w:color w:val="000000"/>
          <w:szCs w:val="21"/>
        </w:rPr>
        <w:t>在报告期内</w:t>
      </w:r>
      <w:r>
        <w:rPr>
          <w:rFonts w:hint="eastAsia" w:ascii="宋体" w:hAnsi="宋体"/>
          <w:color w:val="000000"/>
          <w:szCs w:val="21"/>
        </w:rPr>
        <w:t>，</w:t>
      </w:r>
      <w:r>
        <w:rPr>
          <w:rFonts w:ascii="宋体" w:hAnsi="宋体"/>
          <w:color w:val="000000"/>
          <w:szCs w:val="21"/>
        </w:rPr>
        <w:t>产品份额净值增长率为</w:t>
      </w:r>
      <w:r>
        <w:rPr>
          <w:rFonts w:ascii="宋体" w:hAnsi="宋体"/>
          <w:color w:val="FF0000"/>
          <w:szCs w:val="21"/>
        </w:rPr>
        <w:t>3.22%</w:t>
      </w:r>
      <w:r>
        <w:rPr>
          <w:rFonts w:hint="eastAsia" w:ascii="宋体" w:hAnsi="宋体"/>
          <w:color w:val="000000"/>
          <w:szCs w:val="21"/>
        </w:rPr>
        <w:t>。</w:t>
      </w:r>
      <w:r>
        <w:rPr>
          <w:rFonts w:ascii="宋体" w:hAnsi="宋体"/>
          <w:color w:val="000000"/>
          <w:szCs w:val="21"/>
        </w:rPr>
        <w:t>报告期内</w:t>
      </w:r>
      <w:r>
        <w:rPr>
          <w:rFonts w:hint="eastAsia" w:ascii="宋体" w:hAnsi="宋体"/>
          <w:color w:val="000000"/>
          <w:szCs w:val="21"/>
        </w:rPr>
        <w:t>，</w:t>
      </w:r>
      <w:r>
        <w:rPr>
          <w:rFonts w:ascii="宋体" w:hAnsi="宋体"/>
          <w:color w:val="000000"/>
          <w:szCs w:val="21"/>
        </w:rPr>
        <w:t>本期产品配置债券价格</w:t>
      </w:r>
      <w:r>
        <w:rPr>
          <w:rFonts w:ascii="宋体" w:hAnsi="宋体"/>
          <w:color w:val="FF0000"/>
          <w:szCs w:val="21"/>
        </w:rPr>
        <w:t>整体波动不大</w:t>
      </w:r>
      <w:r>
        <w:rPr>
          <w:rFonts w:hint="eastAsia" w:ascii="宋体" w:hAnsi="宋体"/>
          <w:color w:val="000000"/>
          <w:szCs w:val="21"/>
        </w:rPr>
        <w:t>，</w:t>
      </w:r>
      <w:r>
        <w:rPr>
          <w:rFonts w:ascii="宋体" w:hAnsi="宋体"/>
          <w:color w:val="000000"/>
          <w:szCs w:val="21"/>
        </w:rPr>
        <w:t>在可控范围内</w:t>
      </w:r>
      <w:r>
        <w:rPr>
          <w:rFonts w:hint="eastAsia" w:ascii="宋体" w:hAnsi="宋体"/>
          <w:color w:val="000000"/>
          <w:szCs w:val="21"/>
        </w:rPr>
        <w:t>。</w:t>
      </w:r>
    </w:p>
    <w:p>
      <w:pPr>
        <w:spacing w:beforeLines="50" w:line="360" w:lineRule="exact"/>
      </w:pPr>
    </w:p>
    <w:p>
      <w:pPr>
        <w:spacing w:beforeLines="50" w:line="360" w:lineRule="exact"/>
        <w:rPr>
          <w:b/>
          <w:color w:val="000000"/>
        </w:rPr>
      </w:pPr>
      <w:r>
        <w:rPr>
          <w:b/>
          <w:color w:val="000000"/>
        </w:rPr>
        <w:t>4.3</w:t>
      </w:r>
      <w:r>
        <w:rPr>
          <w:rFonts w:hint="eastAsia"/>
          <w:b/>
          <w:color w:val="000000"/>
        </w:rPr>
        <w:t>报告期内产品主要投资风险</w:t>
      </w:r>
    </w:p>
    <w:p>
      <w:pPr>
        <w:spacing w:beforeLines="50" w:afterLines="50" w:line="360" w:lineRule="auto"/>
        <w:jc w:val="left"/>
        <w:rPr>
          <w:rFonts w:ascii="宋体" w:hAnsi="宋体"/>
          <w:color w:val="FF0000"/>
          <w:szCs w:val="21"/>
        </w:rPr>
      </w:pPr>
      <w:r>
        <w:rPr>
          <w:rFonts w:hint="eastAsia" w:ascii="宋体" w:hAnsi="宋体"/>
          <w:color w:val="000000"/>
          <w:szCs w:val="21"/>
        </w:rPr>
        <w:tab/>
      </w:r>
      <w:r>
        <w:rPr>
          <w:rFonts w:hint="eastAsia" w:ascii="宋体" w:hAnsi="宋体"/>
          <w:color w:val="FF0000"/>
          <w:szCs w:val="21"/>
        </w:rPr>
        <w:t>产品的投资品种价格受经济因素、政治因素、投资心理和交易制度等各种因素影响引起波动，导致收益水平变化产生风险。主要包括：政策风险、经济周期风险、利率风险、信用风险、再投资风险等。</w:t>
      </w:r>
    </w:p>
    <w:p>
      <w:pPr>
        <w:widowControl/>
        <w:jc w:val="left"/>
        <w:rPr>
          <w:rFonts w:ascii="宋体" w:hAnsi="宋体"/>
          <w:color w:val="FF0000"/>
          <w:szCs w:val="21"/>
        </w:rPr>
      </w:pPr>
    </w:p>
    <w:p>
      <w:pPr>
        <w:spacing w:beforeLines="50" w:afterLines="50" w:line="360" w:lineRule="auto"/>
        <w:jc w:val="center"/>
      </w:pPr>
      <w:r>
        <w:rPr>
          <w:rFonts w:hint="eastAsia" w:asciiTheme="minorEastAsia" w:hAnsiTheme="minorEastAsia" w:eastAsiaTheme="minorEastAsia"/>
          <w:b/>
          <w:sz w:val="24"/>
          <w:szCs w:val="24"/>
        </w:rPr>
        <w:t>§</w:t>
      </w:r>
      <w:r>
        <w:rPr>
          <w:rFonts w:asciiTheme="minorEastAsia" w:hAnsiTheme="minorEastAsia" w:eastAsiaTheme="minorEastAsia"/>
          <w:b/>
          <w:sz w:val="24"/>
          <w:szCs w:val="24"/>
        </w:rPr>
        <w:t>5</w:t>
      </w:r>
      <w:r>
        <w:rPr>
          <w:rFonts w:hint="eastAsia" w:asciiTheme="minorEastAsia" w:hAnsiTheme="minorEastAsia" w:eastAsiaTheme="minorEastAsia"/>
          <w:b/>
          <w:sz w:val="24"/>
          <w:szCs w:val="24"/>
        </w:rPr>
        <w:t xml:space="preserve"> 投资组合报告</w:t>
      </w:r>
    </w:p>
    <w:p>
      <w:pPr>
        <w:spacing w:beforeLines="50" w:afterLines="50" w:line="360" w:lineRule="auto"/>
        <w:rPr>
          <w:b/>
        </w:rPr>
      </w:pPr>
      <w:r>
        <w:rPr>
          <w:b/>
        </w:rPr>
        <w:t>5.</w:t>
      </w:r>
      <w:r>
        <w:rPr>
          <w:rFonts w:hint="eastAsia"/>
          <w:b/>
        </w:rPr>
        <w:t>1期末直接前十项持仓资产情况</w:t>
      </w:r>
    </w:p>
    <w:tbl>
      <w:tblPr>
        <w:tblStyle w:val="11"/>
        <w:tblW w:w="9192" w:type="dxa"/>
        <w:tblInd w:w="1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 w:type="dxa"/>
          <w:bottom w:w="0" w:type="dxa"/>
          <w:right w:w="10" w:type="dxa"/>
        </w:tblCellMar>
      </w:tblPr>
      <w:tblGrid>
        <w:gridCol w:w="878"/>
        <w:gridCol w:w="4179"/>
        <w:gridCol w:w="2066"/>
        <w:gridCol w:w="20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805" w:hRule="atLeast"/>
        </w:trPr>
        <w:tc>
          <w:tcPr>
            <w:tcW w:w="878" w:type="dxa"/>
            <w:shd w:val="clear" w:color="auto" w:fill="auto"/>
            <w:vAlign w:val="center"/>
          </w:tcPr>
          <w:p>
            <w:pPr>
              <w:jc w:val="center"/>
              <w:rPr>
                <w:szCs w:val="21"/>
              </w:rPr>
            </w:pPr>
            <w:r>
              <w:rPr>
                <w:rFonts w:hint="eastAsia" w:ascii="宋体"/>
                <w:szCs w:val="21"/>
              </w:rPr>
              <w:t>序号</w:t>
            </w:r>
          </w:p>
        </w:tc>
        <w:tc>
          <w:tcPr>
            <w:tcW w:w="4179" w:type="dxa"/>
            <w:shd w:val="clear" w:color="auto" w:fill="auto"/>
            <w:vAlign w:val="center"/>
          </w:tcPr>
          <w:p>
            <w:pPr>
              <w:jc w:val="center"/>
              <w:rPr>
                <w:szCs w:val="21"/>
              </w:rPr>
            </w:pPr>
            <w:r>
              <w:rPr>
                <w:rFonts w:hint="eastAsia" w:ascii="宋体"/>
                <w:szCs w:val="21"/>
              </w:rPr>
              <w:t>项目</w:t>
            </w:r>
          </w:p>
        </w:tc>
        <w:tc>
          <w:tcPr>
            <w:tcW w:w="2066" w:type="dxa"/>
            <w:shd w:val="clear" w:color="auto" w:fill="auto"/>
            <w:vAlign w:val="center"/>
          </w:tcPr>
          <w:p>
            <w:pPr>
              <w:jc w:val="center"/>
              <w:rPr>
                <w:szCs w:val="21"/>
              </w:rPr>
            </w:pPr>
            <w:r>
              <w:rPr>
                <w:rFonts w:hint="eastAsia" w:ascii="宋体"/>
                <w:szCs w:val="21"/>
              </w:rPr>
              <w:t>金额(元)</w:t>
            </w:r>
          </w:p>
        </w:tc>
        <w:tc>
          <w:tcPr>
            <w:tcW w:w="2069" w:type="dxa"/>
            <w:shd w:val="clear" w:color="auto" w:fill="auto"/>
            <w:vAlign w:val="center"/>
          </w:tcPr>
          <w:p>
            <w:pPr>
              <w:jc w:val="center"/>
              <w:rPr>
                <w:szCs w:val="21"/>
              </w:rPr>
            </w:pPr>
            <w:r>
              <w:rPr>
                <w:rFonts w:hint="eastAsia" w:ascii="宋体"/>
                <w:szCs w:val="21"/>
              </w:rPr>
              <w:t>占理财计划总资产的比例(%)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257" w:hRule="atLeast"/>
        </w:trPr>
        <w:tc>
          <w:tcPr>
            <w:tcW w:w="878" w:type="dxa"/>
            <w:shd w:val="clear" w:color="auto" w:fill="auto"/>
          </w:tcPr>
          <w:p>
            <w:pPr>
              <w:jc w:val="center"/>
              <w:rPr>
                <w:rFonts w:ascii="宋体" w:hAnsi="宋体" w:cs="宋体"/>
                <w:color w:val="000000"/>
                <w:sz w:val="22"/>
                <w:szCs w:val="22"/>
              </w:rPr>
            </w:pPr>
            <w:r>
              <w:t>1</w:t>
            </w:r>
          </w:p>
        </w:tc>
        <w:tc>
          <w:tcPr>
            <w:tcW w:w="4179" w:type="dxa"/>
            <w:shd w:val="clear" w:color="auto" w:fill="auto"/>
          </w:tcPr>
          <w:p>
            <w:pPr>
              <w:jc w:val="left"/>
              <w:rPr>
                <w:rFonts w:ascii="宋体"/>
                <w:szCs w:val="21"/>
              </w:rPr>
            </w:pPr>
            <w:r>
              <w:t>方正富邦—贵阳农商行稳健1号集合</w:t>
            </w:r>
          </w:p>
        </w:tc>
        <w:tc>
          <w:tcPr>
            <w:tcW w:w="2066" w:type="dxa"/>
            <w:shd w:val="clear" w:color="auto" w:fill="auto"/>
          </w:tcPr>
          <w:p>
            <w:pPr>
              <w:jc w:val="right"/>
              <w:rPr>
                <w:rFonts w:ascii="宋体"/>
                <w:szCs w:val="21"/>
              </w:rPr>
            </w:pPr>
            <w:r>
              <w:t>92,401,890.26</w:t>
            </w:r>
          </w:p>
        </w:tc>
        <w:tc>
          <w:tcPr>
            <w:tcW w:w="2069" w:type="dxa"/>
            <w:shd w:val="clear" w:color="auto" w:fill="auto"/>
          </w:tcPr>
          <w:p>
            <w:pPr>
              <w:jc w:val="right"/>
              <w:rPr>
                <w:rFonts w:ascii="宋体"/>
                <w:szCs w:val="21"/>
              </w:rPr>
            </w:pPr>
            <w:r>
              <w:t>98.86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257" w:hRule="atLeast"/>
        </w:trPr>
        <w:tc>
          <w:tcPr>
            <w:tcW w:w="878" w:type="dxa"/>
            <w:shd w:val="clear" w:color="auto" w:fill="auto"/>
          </w:tcPr>
          <w:p>
            <w:pPr>
              <w:jc w:val="center"/>
              <w:rPr>
                <w:rFonts w:ascii="宋体" w:hAnsi="宋体" w:cs="宋体"/>
                <w:color w:val="000000"/>
                <w:sz w:val="22"/>
                <w:szCs w:val="22"/>
              </w:rPr>
            </w:pPr>
            <w:r>
              <w:t>2</w:t>
            </w:r>
          </w:p>
        </w:tc>
        <w:tc>
          <w:tcPr>
            <w:tcW w:w="4179" w:type="dxa"/>
            <w:shd w:val="clear" w:color="auto" w:fill="auto"/>
          </w:tcPr>
          <w:p>
            <w:pPr>
              <w:jc w:val="left"/>
              <w:rPr>
                <w:rFonts w:ascii="宋体"/>
                <w:szCs w:val="21"/>
              </w:rPr>
            </w:pPr>
            <w:r>
              <w:t>方正富邦稳健2号集合资产管理计划</w:t>
            </w:r>
          </w:p>
        </w:tc>
        <w:tc>
          <w:tcPr>
            <w:tcW w:w="2066" w:type="dxa"/>
            <w:shd w:val="clear" w:color="auto" w:fill="auto"/>
          </w:tcPr>
          <w:p>
            <w:pPr>
              <w:jc w:val="right"/>
              <w:rPr>
                <w:rFonts w:ascii="宋体"/>
                <w:szCs w:val="21"/>
              </w:rPr>
            </w:pPr>
            <w:r>
              <w:t>1,034,000.00</w:t>
            </w:r>
          </w:p>
        </w:tc>
        <w:tc>
          <w:tcPr>
            <w:tcW w:w="2069" w:type="dxa"/>
            <w:shd w:val="clear" w:color="auto" w:fill="auto"/>
          </w:tcPr>
          <w:p>
            <w:pPr>
              <w:jc w:val="right"/>
              <w:rPr>
                <w:rFonts w:ascii="宋体"/>
                <w:szCs w:val="21"/>
              </w:rPr>
            </w:pPr>
            <w:r>
              <w:t>1.11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257" w:hRule="atLeast"/>
        </w:trPr>
        <w:tc>
          <w:tcPr>
            <w:tcW w:w="878" w:type="dxa"/>
            <w:shd w:val="clear" w:color="auto" w:fill="auto"/>
          </w:tcPr>
          <w:p>
            <w:pPr>
              <w:jc w:val="center"/>
              <w:rPr>
                <w:rFonts w:ascii="宋体" w:hAnsi="宋体" w:cs="宋体"/>
                <w:color w:val="000000"/>
                <w:sz w:val="22"/>
                <w:szCs w:val="22"/>
              </w:rPr>
            </w:pPr>
          </w:p>
        </w:tc>
        <w:tc>
          <w:tcPr>
            <w:tcW w:w="4179" w:type="dxa"/>
            <w:shd w:val="clear" w:color="auto" w:fill="auto"/>
          </w:tcPr>
          <w:p>
            <w:pPr>
              <w:jc w:val="left"/>
              <w:rPr>
                <w:rFonts w:ascii="宋体"/>
                <w:szCs w:val="21"/>
              </w:rPr>
            </w:pPr>
            <w:r>
              <w:t>合计</w:t>
            </w:r>
          </w:p>
        </w:tc>
        <w:tc>
          <w:tcPr>
            <w:tcW w:w="2066" w:type="dxa"/>
            <w:shd w:val="clear" w:color="auto" w:fill="auto"/>
          </w:tcPr>
          <w:p>
            <w:pPr>
              <w:jc w:val="right"/>
              <w:rPr>
                <w:rFonts w:ascii="宋体"/>
                <w:szCs w:val="21"/>
              </w:rPr>
            </w:pPr>
            <w:r>
              <w:t>93,435,890.26</w:t>
            </w:r>
          </w:p>
        </w:tc>
        <w:tc>
          <w:tcPr>
            <w:tcW w:w="2069" w:type="dxa"/>
            <w:shd w:val="clear" w:color="auto" w:fill="auto"/>
          </w:tcPr>
          <w:p>
            <w:pPr>
              <w:jc w:val="right"/>
              <w:rPr>
                <w:rFonts w:ascii="宋体"/>
                <w:szCs w:val="21"/>
              </w:rPr>
            </w:pPr>
            <w:r>
              <w:t>99.97</w:t>
            </w:r>
          </w:p>
        </w:tc>
      </w:tr>
    </w:tbl>
    <w:p>
      <w:pPr>
        <w:spacing w:beforeLines="50" w:afterLines="50" w:line="360" w:lineRule="auto"/>
      </w:pPr>
      <w:r>
        <w:tab/>
      </w:r>
      <w:r>
        <w:rPr>
          <w:rFonts w:hint="eastAsia"/>
        </w:rPr>
        <w:t>注：由于四舍五入原因，各分项占资产总值的比例之和与合计可能存在尾差。</w:t>
      </w:r>
    </w:p>
    <w:p>
      <w:pPr>
        <w:spacing w:beforeLines="50" w:afterLines="50" w:line="360" w:lineRule="auto"/>
        <w:rPr>
          <w:b/>
        </w:rPr>
      </w:pPr>
    </w:p>
    <w:p>
      <w:pPr>
        <w:spacing w:beforeLines="50" w:afterLines="50" w:line="360" w:lineRule="auto"/>
        <w:rPr>
          <w:b/>
        </w:rPr>
      </w:pPr>
      <w:r>
        <w:rPr>
          <w:b/>
        </w:rPr>
        <w:t>5.</w:t>
      </w:r>
      <w:r>
        <w:rPr>
          <w:rFonts w:hint="eastAsia"/>
          <w:b/>
        </w:rPr>
        <w:t>2期末理财产品资产组合情况</w:t>
      </w:r>
    </w:p>
    <w:p>
      <w:pPr>
        <w:spacing w:beforeLines="50" w:afterLines="50" w:line="360" w:lineRule="auto"/>
      </w:pPr>
      <w:r>
        <w:t>5.</w:t>
      </w:r>
      <w:r>
        <w:rPr>
          <w:rFonts w:hint="eastAsia"/>
        </w:rPr>
        <w:t>2</w:t>
      </w:r>
      <w:r>
        <w:t>.1</w:t>
      </w:r>
      <w:r>
        <w:rPr>
          <w:rFonts w:hint="eastAsia"/>
        </w:rPr>
        <w:t>期末理财产品直接投资资产组合情况</w:t>
      </w:r>
    </w:p>
    <w:p>
      <w:pPr>
        <w:ind w:right="105"/>
        <w:jc w:val="right"/>
      </w:pPr>
    </w:p>
    <w:tbl>
      <w:tblPr>
        <w:tblStyle w:val="11"/>
        <w:tblW w:w="8364"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3402"/>
        <w:gridCol w:w="2126"/>
        <w:gridCol w:w="21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8" w:hRule="atLeast"/>
        </w:trPr>
        <w:tc>
          <w:tcPr>
            <w:tcW w:w="709" w:type="dxa"/>
            <w:shd w:val="clear" w:color="auto" w:fill="auto"/>
            <w:vAlign w:val="center"/>
          </w:tcPr>
          <w:p>
            <w:pPr>
              <w:jc w:val="center"/>
              <w:rPr>
                <w:rFonts w:ascii="宋体" w:hAnsi="宋体"/>
                <w:szCs w:val="21"/>
              </w:rPr>
            </w:pPr>
            <w:r>
              <w:rPr>
                <w:rFonts w:hint="eastAsia" w:ascii="宋体" w:hAnsi="宋体"/>
                <w:szCs w:val="21"/>
              </w:rPr>
              <w:t>序号</w:t>
            </w:r>
          </w:p>
        </w:tc>
        <w:tc>
          <w:tcPr>
            <w:tcW w:w="3402" w:type="dxa"/>
            <w:shd w:val="clear" w:color="auto" w:fill="auto"/>
            <w:vAlign w:val="center"/>
          </w:tcPr>
          <w:p>
            <w:pPr>
              <w:jc w:val="center"/>
              <w:rPr>
                <w:rFonts w:ascii="宋体" w:hAnsi="宋体"/>
                <w:szCs w:val="21"/>
              </w:rPr>
            </w:pPr>
            <w:r>
              <w:rPr>
                <w:rFonts w:hint="eastAsia" w:ascii="宋体" w:hAnsi="宋体"/>
                <w:szCs w:val="21"/>
              </w:rPr>
              <w:t>项目</w:t>
            </w:r>
          </w:p>
        </w:tc>
        <w:tc>
          <w:tcPr>
            <w:tcW w:w="2126" w:type="dxa"/>
            <w:shd w:val="clear" w:color="auto" w:fill="auto"/>
            <w:vAlign w:val="center"/>
          </w:tcPr>
          <w:p>
            <w:pPr>
              <w:jc w:val="center"/>
              <w:rPr>
                <w:rFonts w:ascii="宋体" w:hAnsi="宋体"/>
                <w:szCs w:val="21"/>
              </w:rPr>
            </w:pPr>
            <w:r>
              <w:rPr>
                <w:rFonts w:hint="eastAsia" w:ascii="宋体" w:hAnsi="宋体"/>
                <w:szCs w:val="21"/>
              </w:rPr>
              <w:t>金额(元)</w:t>
            </w:r>
          </w:p>
        </w:tc>
        <w:tc>
          <w:tcPr>
            <w:tcW w:w="2127" w:type="dxa"/>
            <w:shd w:val="clear" w:color="auto" w:fill="auto"/>
            <w:vAlign w:val="center"/>
          </w:tcPr>
          <w:p>
            <w:pPr>
              <w:jc w:val="center"/>
              <w:rPr>
                <w:rFonts w:ascii="宋体" w:hAnsi="宋体"/>
                <w:b/>
                <w:szCs w:val="21"/>
              </w:rPr>
            </w:pPr>
            <w:r>
              <w:rPr>
                <w:rFonts w:hint="eastAsia" w:ascii="宋体"/>
                <w:szCs w:val="21"/>
              </w:rPr>
              <w:t>占理财计划总资产的比例(%)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1</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权益投资</w:t>
            </w:r>
          </w:p>
        </w:tc>
        <w:tc>
          <w:tcPr>
            <w:tcW w:w="2126" w:type="dxa"/>
            <w:shd w:val="clear" w:color="auto" w:fill="auto"/>
            <w:vAlign w:val="center"/>
          </w:tcPr>
          <w:p>
            <w:pPr>
              <w:jc w:val="right"/>
              <w:rPr>
                <w:rFonts w:ascii="宋体" w:hAnsi="宋体"/>
              </w:rPr>
            </w:pPr>
            <w:r>
              <w:rPr>
                <w:rFonts w:hint="eastAsia" w:ascii="宋体" w:hAnsi="宋体"/>
              </w:rPr>
              <w:t>0.00</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其中：普通股</w:t>
            </w:r>
          </w:p>
        </w:tc>
        <w:tc>
          <w:tcPr>
            <w:tcW w:w="2126" w:type="dxa"/>
            <w:shd w:val="clear" w:color="auto" w:fill="auto"/>
            <w:vAlign w:val="center"/>
          </w:tcPr>
          <w:p>
            <w:pPr>
              <w:jc w:val="right"/>
              <w:rPr>
                <w:rFonts w:ascii="宋体" w:hAnsi="宋体"/>
              </w:rPr>
            </w:pPr>
            <w:r>
              <w:rPr>
                <w:rFonts w:hint="eastAsia" w:ascii="宋体" w:hAnsi="宋体"/>
              </w:rPr>
              <w:t>0.00</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 xml:space="preserve">      存托凭证</w:t>
            </w:r>
          </w:p>
        </w:tc>
        <w:tc>
          <w:tcPr>
            <w:tcW w:w="2126" w:type="dxa"/>
            <w:shd w:val="clear" w:color="auto" w:fill="auto"/>
            <w:vAlign w:val="center"/>
          </w:tcPr>
          <w:p>
            <w:pPr>
              <w:jc w:val="right"/>
              <w:rPr>
                <w:rFonts w:ascii="宋体" w:hAnsi="宋体"/>
              </w:rPr>
            </w:pPr>
          </w:p>
        </w:tc>
        <w:tc>
          <w:tcPr>
            <w:tcW w:w="2127" w:type="dxa"/>
            <w:shd w:val="clear" w:color="auto" w:fill="auto"/>
            <w:vAlign w:val="center"/>
          </w:tcPr>
          <w:p>
            <w:pPr>
              <w:jc w:val="right"/>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2</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基金投资</w:t>
            </w:r>
          </w:p>
        </w:tc>
        <w:tc>
          <w:tcPr>
            <w:tcW w:w="2126" w:type="dxa"/>
            <w:shd w:val="clear" w:color="auto" w:fill="auto"/>
            <w:vAlign w:val="center"/>
          </w:tcPr>
          <w:p>
            <w:pPr>
              <w:jc w:val="right"/>
              <w:rPr>
                <w:rFonts w:ascii="宋体" w:hAnsi="宋体"/>
              </w:rPr>
            </w:pPr>
            <w:r>
              <w:rPr>
                <w:rFonts w:hint="eastAsia" w:ascii="宋体" w:hAnsi="宋体"/>
              </w:rPr>
              <w:t>0.00</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3</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固定收益投资</w:t>
            </w:r>
          </w:p>
        </w:tc>
        <w:tc>
          <w:tcPr>
            <w:tcW w:w="2126" w:type="dxa"/>
            <w:shd w:val="clear" w:color="auto" w:fill="auto"/>
            <w:vAlign w:val="center"/>
          </w:tcPr>
          <w:p>
            <w:pPr>
              <w:jc w:val="right"/>
              <w:rPr>
                <w:rFonts w:ascii="宋体" w:hAnsi="宋体"/>
              </w:rPr>
            </w:pPr>
            <w:r>
              <w:rPr>
                <w:rFonts w:hint="eastAsia" w:ascii="宋体" w:hAnsi="宋体"/>
              </w:rPr>
              <w:t>0.00</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其中：债券</w:t>
            </w:r>
          </w:p>
        </w:tc>
        <w:tc>
          <w:tcPr>
            <w:tcW w:w="2126" w:type="dxa"/>
            <w:shd w:val="clear" w:color="auto" w:fill="auto"/>
            <w:vAlign w:val="center"/>
          </w:tcPr>
          <w:p>
            <w:pPr>
              <w:jc w:val="right"/>
              <w:rPr>
                <w:rFonts w:ascii="宋体" w:hAnsi="宋体"/>
              </w:rPr>
            </w:pPr>
            <w:r>
              <w:rPr>
                <w:rFonts w:hint="eastAsia" w:ascii="宋体" w:hAnsi="宋体"/>
              </w:rPr>
              <w:t>0.00</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资产支持证券</w:t>
            </w:r>
          </w:p>
        </w:tc>
        <w:tc>
          <w:tcPr>
            <w:tcW w:w="2126" w:type="dxa"/>
            <w:shd w:val="clear" w:color="auto" w:fill="auto"/>
            <w:vAlign w:val="center"/>
          </w:tcPr>
          <w:p>
            <w:pPr>
              <w:jc w:val="right"/>
              <w:rPr>
                <w:rFonts w:ascii="宋体" w:hAnsi="宋体"/>
              </w:rPr>
            </w:pPr>
            <w:r>
              <w:rPr>
                <w:rFonts w:hint="eastAsia" w:ascii="宋体" w:hAnsi="宋体"/>
              </w:rPr>
              <w:t>0.00</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4</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金融衍生品投资</w:t>
            </w:r>
          </w:p>
        </w:tc>
        <w:tc>
          <w:tcPr>
            <w:tcW w:w="2126" w:type="dxa"/>
            <w:shd w:val="clear" w:color="auto" w:fill="auto"/>
            <w:vAlign w:val="center"/>
          </w:tcPr>
          <w:p>
            <w:pPr>
              <w:jc w:val="right"/>
              <w:rPr>
                <w:rFonts w:ascii="宋体" w:hAnsi="宋体"/>
              </w:rPr>
            </w:pPr>
            <w:r>
              <w:rPr>
                <w:rFonts w:hint="eastAsia" w:ascii="宋体" w:hAnsi="宋体"/>
              </w:rPr>
              <w:t>0.00</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其中：远期</w:t>
            </w:r>
          </w:p>
        </w:tc>
        <w:tc>
          <w:tcPr>
            <w:tcW w:w="2126" w:type="dxa"/>
            <w:shd w:val="clear" w:color="auto" w:fill="auto"/>
            <w:vAlign w:val="center"/>
          </w:tcPr>
          <w:p>
            <w:pPr>
              <w:jc w:val="right"/>
              <w:rPr>
                <w:rFonts w:ascii="宋体" w:hAnsi="宋体"/>
              </w:rPr>
            </w:pPr>
          </w:p>
        </w:tc>
        <w:tc>
          <w:tcPr>
            <w:tcW w:w="2127" w:type="dxa"/>
            <w:shd w:val="clear" w:color="auto" w:fill="auto"/>
            <w:vAlign w:val="center"/>
          </w:tcPr>
          <w:p>
            <w:pPr>
              <w:jc w:val="right"/>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 xml:space="preserve">      期货</w:t>
            </w:r>
          </w:p>
        </w:tc>
        <w:tc>
          <w:tcPr>
            <w:tcW w:w="2126" w:type="dxa"/>
            <w:shd w:val="clear" w:color="auto" w:fill="auto"/>
            <w:vAlign w:val="center"/>
          </w:tcPr>
          <w:p>
            <w:pPr>
              <w:jc w:val="right"/>
              <w:rPr>
                <w:rFonts w:ascii="宋体" w:hAnsi="宋体"/>
              </w:rPr>
            </w:pPr>
          </w:p>
        </w:tc>
        <w:tc>
          <w:tcPr>
            <w:tcW w:w="2127" w:type="dxa"/>
            <w:shd w:val="clear" w:color="auto" w:fill="auto"/>
            <w:vAlign w:val="center"/>
          </w:tcPr>
          <w:p>
            <w:pPr>
              <w:jc w:val="right"/>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xml:space="preserve"> </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 xml:space="preserve">      期权</w:t>
            </w:r>
          </w:p>
        </w:tc>
        <w:tc>
          <w:tcPr>
            <w:tcW w:w="2126" w:type="dxa"/>
            <w:shd w:val="clear" w:color="auto" w:fill="auto"/>
            <w:vAlign w:val="center"/>
          </w:tcPr>
          <w:p>
            <w:pPr>
              <w:jc w:val="right"/>
              <w:rPr>
                <w:rFonts w:ascii="宋体" w:hAnsi="宋体"/>
              </w:rPr>
            </w:pPr>
            <w:r>
              <w:rPr>
                <w:rFonts w:hint="eastAsia" w:ascii="宋体" w:hAnsi="宋体"/>
              </w:rPr>
              <w:t>0.00</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 xml:space="preserve">      权证</w:t>
            </w:r>
          </w:p>
        </w:tc>
        <w:tc>
          <w:tcPr>
            <w:tcW w:w="2126" w:type="dxa"/>
            <w:shd w:val="clear" w:color="auto" w:fill="auto"/>
            <w:vAlign w:val="center"/>
          </w:tcPr>
          <w:p>
            <w:pPr>
              <w:ind w:right="105"/>
              <w:jc w:val="right"/>
              <w:rPr>
                <w:rFonts w:ascii="宋体" w:hAnsi="宋体"/>
              </w:rPr>
            </w:pPr>
          </w:p>
        </w:tc>
        <w:tc>
          <w:tcPr>
            <w:tcW w:w="2127" w:type="dxa"/>
            <w:shd w:val="clear" w:color="auto" w:fill="auto"/>
            <w:vAlign w:val="center"/>
          </w:tcPr>
          <w:p>
            <w:pPr>
              <w:jc w:val="right"/>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5</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买入返售金融资产</w:t>
            </w:r>
          </w:p>
        </w:tc>
        <w:tc>
          <w:tcPr>
            <w:tcW w:w="2126" w:type="dxa"/>
            <w:shd w:val="clear" w:color="auto" w:fill="auto"/>
            <w:vAlign w:val="center"/>
          </w:tcPr>
          <w:p>
            <w:pPr>
              <w:jc w:val="right"/>
              <w:rPr>
                <w:rFonts w:ascii="宋体" w:hAnsi="宋体"/>
              </w:rPr>
            </w:pPr>
            <w:r>
              <w:rPr>
                <w:rFonts w:hint="eastAsia" w:ascii="宋体" w:hAnsi="宋体"/>
              </w:rPr>
              <w:t>0.00</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其中：买断式回购的买入返售金融资产</w:t>
            </w:r>
          </w:p>
        </w:tc>
        <w:tc>
          <w:tcPr>
            <w:tcW w:w="2126" w:type="dxa"/>
            <w:shd w:val="clear" w:color="auto" w:fill="auto"/>
            <w:vAlign w:val="center"/>
          </w:tcPr>
          <w:p>
            <w:pPr>
              <w:jc w:val="right"/>
              <w:rPr>
                <w:rFonts w:ascii="宋体" w:hAnsi="宋体"/>
              </w:rPr>
            </w:pPr>
            <w:r>
              <w:rPr>
                <w:rFonts w:hint="eastAsia" w:ascii="宋体" w:hAnsi="宋体"/>
              </w:rPr>
              <w:t>0.00</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6</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货币市场工具</w:t>
            </w:r>
          </w:p>
        </w:tc>
        <w:tc>
          <w:tcPr>
            <w:tcW w:w="2126" w:type="dxa"/>
            <w:shd w:val="clear" w:color="auto" w:fill="auto"/>
            <w:vAlign w:val="center"/>
          </w:tcPr>
          <w:p>
            <w:pPr>
              <w:ind w:right="105"/>
              <w:jc w:val="right"/>
              <w:rPr>
                <w:rFonts w:ascii="宋体" w:hAnsi="宋体"/>
              </w:rPr>
            </w:pPr>
          </w:p>
        </w:tc>
        <w:tc>
          <w:tcPr>
            <w:tcW w:w="2127" w:type="dxa"/>
            <w:shd w:val="clear" w:color="auto" w:fill="auto"/>
            <w:vAlign w:val="center"/>
          </w:tcPr>
          <w:p>
            <w:pPr>
              <w:jc w:val="right"/>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7</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银行存款和结算备付金合计</w:t>
            </w:r>
          </w:p>
        </w:tc>
        <w:tc>
          <w:tcPr>
            <w:tcW w:w="2126" w:type="dxa"/>
            <w:shd w:val="clear" w:color="auto" w:fill="auto"/>
            <w:vAlign w:val="center"/>
          </w:tcPr>
          <w:p>
            <w:pPr>
              <w:jc w:val="right"/>
              <w:rPr>
                <w:rFonts w:ascii="宋体" w:hAnsi="宋体"/>
              </w:rPr>
            </w:pPr>
            <w:r>
              <w:rPr>
                <w:rFonts w:hint="eastAsia" w:ascii="宋体" w:hAnsi="宋体"/>
              </w:rPr>
              <w:t>32,118.88</w:t>
            </w:r>
          </w:p>
        </w:tc>
        <w:tc>
          <w:tcPr>
            <w:tcW w:w="2127" w:type="dxa"/>
            <w:shd w:val="clear" w:color="auto" w:fill="auto"/>
            <w:vAlign w:val="center"/>
          </w:tcPr>
          <w:p>
            <w:pPr>
              <w:jc w:val="right"/>
              <w:rPr>
                <w:rFonts w:ascii="宋体" w:hAnsi="宋体"/>
              </w:rPr>
            </w:pPr>
            <w:r>
              <w:rPr>
                <w:rFonts w:hint="eastAsia" w:ascii="宋体" w:hAnsi="宋体"/>
              </w:rPr>
              <w:t>0.03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8</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拆放同业</w:t>
            </w:r>
          </w:p>
        </w:tc>
        <w:tc>
          <w:tcPr>
            <w:tcW w:w="2126" w:type="dxa"/>
            <w:shd w:val="clear" w:color="auto" w:fill="auto"/>
            <w:vAlign w:val="center"/>
          </w:tcPr>
          <w:p>
            <w:pPr>
              <w:jc w:val="right"/>
              <w:rPr>
                <w:rFonts w:ascii="宋体" w:hAnsi="宋体"/>
              </w:rPr>
            </w:pPr>
            <w:r>
              <w:rPr>
                <w:rFonts w:hint="eastAsia" w:ascii="宋体" w:hAnsi="宋体"/>
              </w:rPr>
              <w:t>0.00</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9</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资管产品</w:t>
            </w:r>
          </w:p>
        </w:tc>
        <w:tc>
          <w:tcPr>
            <w:tcW w:w="2126" w:type="dxa"/>
            <w:shd w:val="clear" w:color="auto" w:fill="auto"/>
            <w:vAlign w:val="center"/>
          </w:tcPr>
          <w:p>
            <w:pPr>
              <w:jc w:val="right"/>
              <w:rPr>
                <w:rFonts w:ascii="宋体" w:hAnsi="宋体"/>
              </w:rPr>
            </w:pPr>
            <w:r>
              <w:rPr>
                <w:rFonts w:hint="eastAsia" w:ascii="宋体" w:hAnsi="宋体"/>
              </w:rPr>
              <w:t>93,435,890.26</w:t>
            </w:r>
          </w:p>
        </w:tc>
        <w:tc>
          <w:tcPr>
            <w:tcW w:w="2127" w:type="dxa"/>
            <w:shd w:val="clear" w:color="auto" w:fill="auto"/>
            <w:vAlign w:val="center"/>
          </w:tcPr>
          <w:p>
            <w:pPr>
              <w:jc w:val="right"/>
              <w:rPr>
                <w:rFonts w:ascii="宋体" w:hAnsi="宋体"/>
              </w:rPr>
            </w:pPr>
            <w:r>
              <w:rPr>
                <w:rFonts w:hint="eastAsia" w:ascii="宋体" w:hAnsi="宋体"/>
              </w:rPr>
              <w:t>99.97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ascii="宋体" w:hAnsi="宋体" w:cs="宋体"/>
                <w:kern w:val="0"/>
                <w:sz w:val="22"/>
                <w:szCs w:val="22"/>
              </w:rPr>
              <w:t>10</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其他资产</w:t>
            </w:r>
          </w:p>
        </w:tc>
        <w:tc>
          <w:tcPr>
            <w:tcW w:w="2126" w:type="dxa"/>
            <w:shd w:val="clear" w:color="auto" w:fill="auto"/>
            <w:vAlign w:val="center"/>
          </w:tcPr>
          <w:p>
            <w:pPr>
              <w:jc w:val="right"/>
              <w:rPr>
                <w:rFonts w:ascii="宋体" w:hAnsi="宋体"/>
              </w:rPr>
            </w:pPr>
            <w:r>
              <w:rPr>
                <w:rFonts w:hint="eastAsia" w:ascii="宋体" w:hAnsi="宋体"/>
              </w:rPr>
              <w:t>3.10</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tcPr>
          <w:p>
            <w:pPr>
              <w:jc w:val="left"/>
              <w:rPr>
                <w:rFonts w:ascii="宋体" w:hAnsi="宋体"/>
                <w:szCs w:val="21"/>
              </w:rPr>
            </w:pPr>
          </w:p>
        </w:tc>
        <w:tc>
          <w:tcPr>
            <w:tcW w:w="3402" w:type="dxa"/>
            <w:shd w:val="clear" w:color="auto" w:fill="auto"/>
          </w:tcPr>
          <w:p>
            <w:pPr>
              <w:jc w:val="left"/>
              <w:rPr>
                <w:rFonts w:ascii="宋体" w:hAnsi="宋体"/>
                <w:szCs w:val="21"/>
              </w:rPr>
            </w:pPr>
            <w:r>
              <w:rPr>
                <w:rFonts w:hint="eastAsia" w:ascii="宋体" w:hAnsi="宋体"/>
                <w:szCs w:val="21"/>
              </w:rPr>
              <w:t>合计</w:t>
            </w:r>
          </w:p>
        </w:tc>
        <w:tc>
          <w:tcPr>
            <w:tcW w:w="2126" w:type="dxa"/>
            <w:shd w:val="clear" w:color="auto" w:fill="auto"/>
          </w:tcPr>
          <w:p>
            <w:pPr>
              <w:jc w:val="right"/>
              <w:rPr>
                <w:rFonts w:ascii="宋体" w:hAnsi="宋体"/>
              </w:rPr>
            </w:pPr>
            <w:r>
              <w:rPr>
                <w:rFonts w:hint="eastAsia" w:ascii="宋体" w:hAnsi="宋体"/>
              </w:rPr>
              <w:t>93,468,012.24</w:t>
            </w:r>
          </w:p>
        </w:tc>
        <w:tc>
          <w:tcPr>
            <w:tcW w:w="2127" w:type="dxa"/>
            <w:shd w:val="clear" w:color="auto" w:fill="auto"/>
          </w:tcPr>
          <w:p>
            <w:pPr>
              <w:jc w:val="right"/>
              <w:rPr>
                <w:rFonts w:ascii="宋体" w:hAnsi="宋体"/>
              </w:rPr>
            </w:pPr>
            <w:r>
              <w:rPr>
                <w:rFonts w:hint="eastAsia" w:ascii="宋体" w:hAnsi="宋体"/>
              </w:rPr>
              <w:t>100.00</w:t>
            </w:r>
          </w:p>
        </w:tc>
      </w:tr>
    </w:tbl>
    <w:p>
      <w:pPr>
        <w:spacing w:beforeLines="50" w:afterLines="50" w:line="360" w:lineRule="auto"/>
      </w:pPr>
    </w:p>
    <w:p>
      <w:pPr>
        <w:spacing w:beforeLines="50" w:afterLines="50" w:line="360" w:lineRule="auto"/>
      </w:pPr>
      <w:r>
        <w:tab/>
      </w:r>
      <w:r>
        <w:rPr>
          <w:rFonts w:hint="eastAsia"/>
        </w:rPr>
        <w:t>注：由于四舍五入原因，各分项占资产总值的比例之和与合计可能存在尾差。</w:t>
      </w:r>
    </w:p>
    <w:p>
      <w:pPr>
        <w:spacing w:beforeLines="50" w:afterLines="50" w:line="360" w:lineRule="auto"/>
      </w:pPr>
      <w:r>
        <w:t>5.</w:t>
      </w:r>
      <w:r>
        <w:rPr>
          <w:rFonts w:hint="eastAsia"/>
        </w:rPr>
        <w:t>2</w:t>
      </w:r>
      <w:r>
        <w:t>.2</w:t>
      </w:r>
      <w:r>
        <w:rPr>
          <w:rFonts w:hint="eastAsia"/>
        </w:rPr>
        <w:t>期末理财产品间接投资资产组合情况</w:t>
      </w:r>
    </w:p>
    <w:p>
      <w:pPr>
        <w:jc w:val="right"/>
      </w:pPr>
    </w:p>
    <w:tbl>
      <w:tblPr>
        <w:tblStyle w:val="11"/>
        <w:tblW w:w="8364"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3402"/>
        <w:gridCol w:w="2126"/>
        <w:gridCol w:w="21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8" w:hRule="atLeast"/>
        </w:trPr>
        <w:tc>
          <w:tcPr>
            <w:tcW w:w="709" w:type="dxa"/>
            <w:shd w:val="clear" w:color="auto" w:fill="auto"/>
            <w:vAlign w:val="center"/>
          </w:tcPr>
          <w:p>
            <w:pPr>
              <w:jc w:val="center"/>
              <w:rPr>
                <w:rFonts w:ascii="宋体" w:hAnsi="宋体"/>
                <w:szCs w:val="21"/>
              </w:rPr>
            </w:pPr>
            <w:r>
              <w:rPr>
                <w:rFonts w:hint="eastAsia" w:ascii="宋体" w:hAnsi="宋体"/>
                <w:szCs w:val="21"/>
              </w:rPr>
              <w:t>序号</w:t>
            </w:r>
          </w:p>
        </w:tc>
        <w:tc>
          <w:tcPr>
            <w:tcW w:w="3402" w:type="dxa"/>
            <w:shd w:val="clear" w:color="auto" w:fill="auto"/>
            <w:vAlign w:val="center"/>
          </w:tcPr>
          <w:p>
            <w:pPr>
              <w:jc w:val="center"/>
              <w:rPr>
                <w:rFonts w:ascii="宋体" w:hAnsi="宋体"/>
                <w:szCs w:val="21"/>
              </w:rPr>
            </w:pPr>
            <w:r>
              <w:rPr>
                <w:rFonts w:hint="eastAsia" w:ascii="宋体" w:hAnsi="宋体"/>
                <w:szCs w:val="21"/>
              </w:rPr>
              <w:t>项目</w:t>
            </w:r>
          </w:p>
        </w:tc>
        <w:tc>
          <w:tcPr>
            <w:tcW w:w="2126" w:type="dxa"/>
            <w:shd w:val="clear" w:color="auto" w:fill="auto"/>
            <w:vAlign w:val="center"/>
          </w:tcPr>
          <w:p>
            <w:pPr>
              <w:jc w:val="center"/>
              <w:rPr>
                <w:rFonts w:ascii="宋体" w:hAnsi="宋体"/>
                <w:szCs w:val="21"/>
              </w:rPr>
            </w:pPr>
            <w:r>
              <w:rPr>
                <w:rFonts w:hint="eastAsia" w:ascii="宋体" w:hAnsi="宋体"/>
                <w:szCs w:val="21"/>
              </w:rPr>
              <w:t>金额(元)</w:t>
            </w:r>
          </w:p>
        </w:tc>
        <w:tc>
          <w:tcPr>
            <w:tcW w:w="2127" w:type="dxa"/>
            <w:shd w:val="clear" w:color="auto" w:fill="auto"/>
            <w:vAlign w:val="center"/>
          </w:tcPr>
          <w:p>
            <w:pPr>
              <w:jc w:val="center"/>
              <w:rPr>
                <w:rFonts w:ascii="宋体" w:hAnsi="宋体"/>
                <w:b/>
                <w:szCs w:val="21"/>
              </w:rPr>
            </w:pPr>
            <w:r>
              <w:rPr>
                <w:rFonts w:hint="eastAsia" w:ascii="宋体"/>
                <w:szCs w:val="21"/>
              </w:rPr>
              <w:t>占理财计划总资产的比例(%)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1</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权益投资</w:t>
            </w:r>
          </w:p>
        </w:tc>
        <w:tc>
          <w:tcPr>
            <w:tcW w:w="2126" w:type="dxa"/>
            <w:shd w:val="clear" w:color="auto" w:fill="auto"/>
            <w:vAlign w:val="center"/>
          </w:tcPr>
          <w:p>
            <w:pPr>
              <w:jc w:val="right"/>
              <w:rPr>
                <w:rFonts w:ascii="宋体" w:hAnsi="宋体"/>
              </w:rPr>
            </w:pPr>
            <w:r>
              <w:rPr>
                <w:rFonts w:hint="eastAsia" w:ascii="宋体" w:hAnsi="宋体"/>
              </w:rPr>
              <w:t>0.00</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其中：普通股</w:t>
            </w:r>
          </w:p>
        </w:tc>
        <w:tc>
          <w:tcPr>
            <w:tcW w:w="2126" w:type="dxa"/>
            <w:shd w:val="clear" w:color="auto" w:fill="auto"/>
            <w:vAlign w:val="center"/>
          </w:tcPr>
          <w:p>
            <w:pPr>
              <w:jc w:val="right"/>
              <w:rPr>
                <w:rFonts w:ascii="宋体" w:hAnsi="宋体"/>
              </w:rPr>
            </w:pPr>
            <w:r>
              <w:rPr>
                <w:rFonts w:hint="eastAsia" w:ascii="宋体" w:hAnsi="宋体"/>
              </w:rPr>
              <w:t>0.00</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 xml:space="preserve">      存托凭证</w:t>
            </w:r>
          </w:p>
        </w:tc>
        <w:tc>
          <w:tcPr>
            <w:tcW w:w="2126" w:type="dxa"/>
            <w:shd w:val="clear" w:color="auto" w:fill="auto"/>
            <w:vAlign w:val="center"/>
          </w:tcPr>
          <w:p>
            <w:pPr>
              <w:jc w:val="right"/>
              <w:rPr>
                <w:rFonts w:ascii="宋体" w:hAnsi="宋体"/>
              </w:rPr>
            </w:pPr>
          </w:p>
        </w:tc>
        <w:tc>
          <w:tcPr>
            <w:tcW w:w="2127" w:type="dxa"/>
            <w:shd w:val="clear" w:color="auto" w:fill="auto"/>
            <w:vAlign w:val="center"/>
          </w:tcPr>
          <w:p>
            <w:pPr>
              <w:jc w:val="right"/>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2</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基金投资</w:t>
            </w:r>
          </w:p>
        </w:tc>
        <w:tc>
          <w:tcPr>
            <w:tcW w:w="2126" w:type="dxa"/>
            <w:shd w:val="clear" w:color="auto" w:fill="auto"/>
            <w:vAlign w:val="center"/>
          </w:tcPr>
          <w:p>
            <w:pPr>
              <w:jc w:val="right"/>
              <w:rPr>
                <w:rFonts w:ascii="宋体" w:hAnsi="宋体"/>
              </w:rPr>
            </w:pPr>
            <w:r>
              <w:rPr>
                <w:rFonts w:hint="eastAsia" w:ascii="宋体" w:hAnsi="宋体"/>
              </w:rPr>
              <w:t>0.00</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3</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固定收益投资</w:t>
            </w:r>
          </w:p>
        </w:tc>
        <w:tc>
          <w:tcPr>
            <w:tcW w:w="2126" w:type="dxa"/>
            <w:shd w:val="clear" w:color="auto" w:fill="auto"/>
            <w:vAlign w:val="center"/>
          </w:tcPr>
          <w:p>
            <w:pPr>
              <w:jc w:val="right"/>
              <w:rPr>
                <w:rFonts w:ascii="宋体" w:hAnsi="宋体"/>
              </w:rPr>
            </w:pPr>
            <w:r>
              <w:rPr>
                <w:rFonts w:hint="eastAsia" w:ascii="宋体" w:hAnsi="宋体"/>
              </w:rPr>
              <w:t>87,599,191.37</w:t>
            </w:r>
          </w:p>
        </w:tc>
        <w:tc>
          <w:tcPr>
            <w:tcW w:w="2127" w:type="dxa"/>
            <w:shd w:val="clear" w:color="auto" w:fill="auto"/>
            <w:vAlign w:val="center"/>
          </w:tcPr>
          <w:p>
            <w:pPr>
              <w:jc w:val="right"/>
              <w:rPr>
                <w:rFonts w:ascii="宋体" w:hAnsi="宋体"/>
              </w:rPr>
            </w:pPr>
            <w:r>
              <w:rPr>
                <w:rFonts w:hint="eastAsia" w:ascii="宋体" w:hAnsi="宋体"/>
              </w:rPr>
              <w:t>93.72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其中：债券</w:t>
            </w:r>
          </w:p>
        </w:tc>
        <w:tc>
          <w:tcPr>
            <w:tcW w:w="2126" w:type="dxa"/>
            <w:shd w:val="clear" w:color="auto" w:fill="auto"/>
            <w:vAlign w:val="center"/>
          </w:tcPr>
          <w:p>
            <w:pPr>
              <w:jc w:val="right"/>
              <w:rPr>
                <w:rFonts w:ascii="宋体" w:hAnsi="宋体"/>
              </w:rPr>
            </w:pPr>
            <w:r>
              <w:rPr>
                <w:rFonts w:hint="eastAsia" w:ascii="宋体" w:hAnsi="宋体"/>
              </w:rPr>
              <w:t>85,958,169.13</w:t>
            </w:r>
          </w:p>
        </w:tc>
        <w:tc>
          <w:tcPr>
            <w:tcW w:w="2127" w:type="dxa"/>
            <w:shd w:val="clear" w:color="auto" w:fill="auto"/>
            <w:vAlign w:val="center"/>
          </w:tcPr>
          <w:p>
            <w:pPr>
              <w:jc w:val="right"/>
              <w:rPr>
                <w:rFonts w:ascii="宋体" w:hAnsi="宋体"/>
              </w:rPr>
            </w:pPr>
            <w:r>
              <w:rPr>
                <w:rFonts w:hint="eastAsia" w:ascii="宋体" w:hAnsi="宋体"/>
              </w:rPr>
              <w:t>91.97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资产支持证券</w:t>
            </w:r>
          </w:p>
        </w:tc>
        <w:tc>
          <w:tcPr>
            <w:tcW w:w="2126" w:type="dxa"/>
            <w:shd w:val="clear" w:color="auto" w:fill="auto"/>
            <w:vAlign w:val="center"/>
          </w:tcPr>
          <w:p>
            <w:pPr>
              <w:jc w:val="right"/>
              <w:rPr>
                <w:rFonts w:ascii="宋体" w:hAnsi="宋体"/>
              </w:rPr>
            </w:pPr>
            <w:r>
              <w:rPr>
                <w:rFonts w:hint="eastAsia" w:ascii="宋体" w:hAnsi="宋体"/>
              </w:rPr>
              <w:t>1,641,022.24</w:t>
            </w:r>
          </w:p>
        </w:tc>
        <w:tc>
          <w:tcPr>
            <w:tcW w:w="2127" w:type="dxa"/>
            <w:shd w:val="clear" w:color="auto" w:fill="auto"/>
            <w:vAlign w:val="center"/>
          </w:tcPr>
          <w:p>
            <w:pPr>
              <w:jc w:val="right"/>
              <w:rPr>
                <w:rFonts w:ascii="宋体" w:hAnsi="宋体"/>
              </w:rPr>
            </w:pPr>
            <w:r>
              <w:rPr>
                <w:rFonts w:hint="eastAsia" w:ascii="宋体" w:hAnsi="宋体"/>
              </w:rPr>
              <w:t>1.76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4</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金融衍生品投资</w:t>
            </w:r>
          </w:p>
        </w:tc>
        <w:tc>
          <w:tcPr>
            <w:tcW w:w="2126" w:type="dxa"/>
            <w:shd w:val="clear" w:color="auto" w:fill="auto"/>
            <w:vAlign w:val="center"/>
          </w:tcPr>
          <w:p>
            <w:pPr>
              <w:jc w:val="right"/>
              <w:rPr>
                <w:rFonts w:ascii="宋体" w:hAnsi="宋体"/>
              </w:rPr>
            </w:pPr>
            <w:r>
              <w:rPr>
                <w:rFonts w:hint="eastAsia" w:ascii="宋体" w:hAnsi="宋体"/>
              </w:rPr>
              <w:t>0.00</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其中：远期</w:t>
            </w:r>
          </w:p>
        </w:tc>
        <w:tc>
          <w:tcPr>
            <w:tcW w:w="2126" w:type="dxa"/>
            <w:shd w:val="clear" w:color="auto" w:fill="auto"/>
            <w:vAlign w:val="center"/>
          </w:tcPr>
          <w:p>
            <w:pPr>
              <w:jc w:val="right"/>
              <w:rPr>
                <w:rFonts w:ascii="宋体" w:hAnsi="宋体"/>
              </w:rPr>
            </w:pPr>
          </w:p>
        </w:tc>
        <w:tc>
          <w:tcPr>
            <w:tcW w:w="2127" w:type="dxa"/>
            <w:shd w:val="clear" w:color="auto" w:fill="auto"/>
            <w:vAlign w:val="center"/>
          </w:tcPr>
          <w:p>
            <w:pPr>
              <w:jc w:val="right"/>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 xml:space="preserve">      期货</w:t>
            </w:r>
          </w:p>
        </w:tc>
        <w:tc>
          <w:tcPr>
            <w:tcW w:w="2126" w:type="dxa"/>
            <w:shd w:val="clear" w:color="auto" w:fill="auto"/>
            <w:vAlign w:val="center"/>
          </w:tcPr>
          <w:p>
            <w:pPr>
              <w:jc w:val="right"/>
              <w:rPr>
                <w:rFonts w:ascii="宋体" w:hAnsi="宋体"/>
              </w:rPr>
            </w:pPr>
          </w:p>
        </w:tc>
        <w:tc>
          <w:tcPr>
            <w:tcW w:w="2127" w:type="dxa"/>
            <w:shd w:val="clear" w:color="auto" w:fill="auto"/>
            <w:vAlign w:val="center"/>
          </w:tcPr>
          <w:p>
            <w:pPr>
              <w:jc w:val="right"/>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xml:space="preserve"> </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 xml:space="preserve">      期权</w:t>
            </w:r>
          </w:p>
        </w:tc>
        <w:tc>
          <w:tcPr>
            <w:tcW w:w="2126" w:type="dxa"/>
            <w:shd w:val="clear" w:color="auto" w:fill="auto"/>
            <w:vAlign w:val="center"/>
          </w:tcPr>
          <w:p>
            <w:pPr>
              <w:jc w:val="right"/>
              <w:rPr>
                <w:rFonts w:ascii="宋体" w:hAnsi="宋体"/>
              </w:rPr>
            </w:pPr>
            <w:r>
              <w:rPr>
                <w:rFonts w:hint="eastAsia" w:ascii="宋体" w:hAnsi="宋体"/>
              </w:rPr>
              <w:t>0.00</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 xml:space="preserve">      权证</w:t>
            </w:r>
          </w:p>
        </w:tc>
        <w:tc>
          <w:tcPr>
            <w:tcW w:w="2126" w:type="dxa"/>
            <w:shd w:val="clear" w:color="auto" w:fill="auto"/>
            <w:vAlign w:val="center"/>
          </w:tcPr>
          <w:p>
            <w:pPr>
              <w:ind w:right="105"/>
              <w:jc w:val="right"/>
              <w:rPr>
                <w:rFonts w:ascii="宋体" w:hAnsi="宋体"/>
              </w:rPr>
            </w:pPr>
          </w:p>
        </w:tc>
        <w:tc>
          <w:tcPr>
            <w:tcW w:w="2127" w:type="dxa"/>
            <w:shd w:val="clear" w:color="auto" w:fill="auto"/>
            <w:vAlign w:val="center"/>
          </w:tcPr>
          <w:p>
            <w:pPr>
              <w:jc w:val="right"/>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5</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买入返售金融资产</w:t>
            </w:r>
          </w:p>
        </w:tc>
        <w:tc>
          <w:tcPr>
            <w:tcW w:w="2126" w:type="dxa"/>
            <w:shd w:val="clear" w:color="auto" w:fill="auto"/>
            <w:vAlign w:val="center"/>
          </w:tcPr>
          <w:p>
            <w:pPr>
              <w:jc w:val="right"/>
              <w:rPr>
                <w:rFonts w:ascii="宋体" w:hAnsi="宋体"/>
              </w:rPr>
            </w:pPr>
            <w:r>
              <w:rPr>
                <w:rFonts w:hint="eastAsia" w:ascii="宋体" w:hAnsi="宋体"/>
              </w:rPr>
              <w:t>14,045,912.51</w:t>
            </w:r>
          </w:p>
        </w:tc>
        <w:tc>
          <w:tcPr>
            <w:tcW w:w="2127" w:type="dxa"/>
            <w:shd w:val="clear" w:color="auto" w:fill="auto"/>
            <w:vAlign w:val="center"/>
          </w:tcPr>
          <w:p>
            <w:pPr>
              <w:jc w:val="right"/>
              <w:rPr>
                <w:rFonts w:ascii="宋体" w:hAnsi="宋体"/>
              </w:rPr>
            </w:pPr>
            <w:r>
              <w:rPr>
                <w:rFonts w:hint="eastAsia" w:ascii="宋体" w:hAnsi="宋体"/>
              </w:rPr>
              <w:t>15.03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其中：买断式回购的买入返售金融资产</w:t>
            </w:r>
          </w:p>
        </w:tc>
        <w:tc>
          <w:tcPr>
            <w:tcW w:w="2126" w:type="dxa"/>
            <w:shd w:val="clear" w:color="auto" w:fill="auto"/>
            <w:vAlign w:val="center"/>
          </w:tcPr>
          <w:p>
            <w:pPr>
              <w:jc w:val="right"/>
              <w:rPr>
                <w:rFonts w:ascii="宋体" w:hAnsi="宋体"/>
              </w:rPr>
            </w:pPr>
            <w:r>
              <w:rPr>
                <w:rFonts w:hint="eastAsia" w:ascii="宋体" w:hAnsi="宋体"/>
              </w:rPr>
              <w:t>0.00</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6</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货币市场工具</w:t>
            </w:r>
          </w:p>
        </w:tc>
        <w:tc>
          <w:tcPr>
            <w:tcW w:w="2126" w:type="dxa"/>
            <w:shd w:val="clear" w:color="auto" w:fill="auto"/>
            <w:vAlign w:val="center"/>
          </w:tcPr>
          <w:p>
            <w:pPr>
              <w:ind w:right="105"/>
              <w:jc w:val="right"/>
              <w:rPr>
                <w:rFonts w:ascii="宋体" w:hAnsi="宋体"/>
              </w:rPr>
            </w:pPr>
          </w:p>
        </w:tc>
        <w:tc>
          <w:tcPr>
            <w:tcW w:w="2127" w:type="dxa"/>
            <w:shd w:val="clear" w:color="auto" w:fill="auto"/>
            <w:vAlign w:val="center"/>
          </w:tcPr>
          <w:p>
            <w:pPr>
              <w:jc w:val="right"/>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7</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银行存款和结算备付金合计</w:t>
            </w:r>
          </w:p>
        </w:tc>
        <w:tc>
          <w:tcPr>
            <w:tcW w:w="2126" w:type="dxa"/>
            <w:shd w:val="clear" w:color="auto" w:fill="auto"/>
            <w:vAlign w:val="center"/>
          </w:tcPr>
          <w:p>
            <w:pPr>
              <w:jc w:val="right"/>
              <w:rPr>
                <w:rFonts w:ascii="宋体" w:hAnsi="宋体"/>
              </w:rPr>
            </w:pPr>
            <w:r>
              <w:rPr>
                <w:rFonts w:hint="eastAsia" w:ascii="宋体" w:hAnsi="宋体"/>
              </w:rPr>
              <w:t>392,021.75</w:t>
            </w:r>
          </w:p>
        </w:tc>
        <w:tc>
          <w:tcPr>
            <w:tcW w:w="2127" w:type="dxa"/>
            <w:shd w:val="clear" w:color="auto" w:fill="auto"/>
            <w:vAlign w:val="center"/>
          </w:tcPr>
          <w:p>
            <w:pPr>
              <w:jc w:val="right"/>
              <w:rPr>
                <w:rFonts w:ascii="宋体" w:hAnsi="宋体"/>
              </w:rPr>
            </w:pPr>
            <w:r>
              <w:rPr>
                <w:rFonts w:hint="eastAsia" w:ascii="宋体" w:hAnsi="宋体"/>
              </w:rPr>
              <w:t>0.42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8</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拆放同业</w:t>
            </w:r>
          </w:p>
        </w:tc>
        <w:tc>
          <w:tcPr>
            <w:tcW w:w="2126" w:type="dxa"/>
            <w:shd w:val="clear" w:color="auto" w:fill="auto"/>
            <w:vAlign w:val="center"/>
          </w:tcPr>
          <w:p>
            <w:pPr>
              <w:jc w:val="right"/>
              <w:rPr>
                <w:rFonts w:ascii="宋体" w:hAnsi="宋体"/>
              </w:rPr>
            </w:pPr>
            <w:r>
              <w:rPr>
                <w:rFonts w:hint="eastAsia" w:ascii="宋体" w:hAnsi="宋体"/>
              </w:rPr>
              <w:t>0.00</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9</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资管产品</w:t>
            </w:r>
          </w:p>
        </w:tc>
        <w:tc>
          <w:tcPr>
            <w:tcW w:w="2126" w:type="dxa"/>
            <w:shd w:val="clear" w:color="auto" w:fill="auto"/>
            <w:vAlign w:val="center"/>
          </w:tcPr>
          <w:p>
            <w:pPr>
              <w:jc w:val="right"/>
              <w:rPr>
                <w:rFonts w:ascii="宋体" w:hAnsi="宋体"/>
              </w:rPr>
            </w:pPr>
            <w:r>
              <w:rPr>
                <w:rFonts w:hint="eastAsia" w:ascii="宋体" w:hAnsi="宋体"/>
              </w:rPr>
              <w:t>0.00</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ascii="宋体" w:hAnsi="宋体" w:cs="宋体"/>
                <w:kern w:val="0"/>
                <w:sz w:val="22"/>
                <w:szCs w:val="22"/>
              </w:rPr>
              <w:t>10</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其他资产</w:t>
            </w:r>
          </w:p>
        </w:tc>
        <w:tc>
          <w:tcPr>
            <w:tcW w:w="2126" w:type="dxa"/>
            <w:shd w:val="clear" w:color="auto" w:fill="auto"/>
            <w:vAlign w:val="center"/>
          </w:tcPr>
          <w:p>
            <w:pPr>
              <w:jc w:val="right"/>
              <w:rPr>
                <w:rFonts w:ascii="宋体" w:hAnsi="宋体"/>
              </w:rPr>
            </w:pPr>
            <w:r>
              <w:rPr>
                <w:rFonts w:hint="eastAsia" w:ascii="宋体" w:hAnsi="宋体"/>
              </w:rPr>
              <w:t>3,009,762.48</w:t>
            </w:r>
          </w:p>
        </w:tc>
        <w:tc>
          <w:tcPr>
            <w:tcW w:w="2127" w:type="dxa"/>
            <w:shd w:val="clear" w:color="auto" w:fill="auto"/>
            <w:vAlign w:val="center"/>
          </w:tcPr>
          <w:p>
            <w:pPr>
              <w:jc w:val="right"/>
              <w:rPr>
                <w:rFonts w:ascii="宋体" w:hAnsi="宋体"/>
              </w:rPr>
            </w:pPr>
            <w:r>
              <w:rPr>
                <w:rFonts w:hint="eastAsia" w:ascii="宋体" w:hAnsi="宋体"/>
              </w:rPr>
              <w:t>3.22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tcPr>
          <w:p>
            <w:pPr>
              <w:jc w:val="left"/>
              <w:rPr>
                <w:rFonts w:ascii="宋体" w:hAnsi="宋体"/>
                <w:szCs w:val="21"/>
              </w:rPr>
            </w:pPr>
          </w:p>
        </w:tc>
        <w:tc>
          <w:tcPr>
            <w:tcW w:w="3402" w:type="dxa"/>
            <w:shd w:val="clear" w:color="auto" w:fill="auto"/>
          </w:tcPr>
          <w:p>
            <w:pPr>
              <w:jc w:val="left"/>
              <w:rPr>
                <w:rFonts w:ascii="宋体" w:hAnsi="宋体"/>
                <w:szCs w:val="21"/>
              </w:rPr>
            </w:pPr>
            <w:r>
              <w:rPr>
                <w:rFonts w:hint="eastAsia" w:ascii="宋体" w:hAnsi="宋体"/>
                <w:szCs w:val="21"/>
              </w:rPr>
              <w:t>合计</w:t>
            </w:r>
          </w:p>
        </w:tc>
        <w:tc>
          <w:tcPr>
            <w:tcW w:w="2126" w:type="dxa"/>
            <w:shd w:val="clear" w:color="auto" w:fill="auto"/>
          </w:tcPr>
          <w:p>
            <w:pPr>
              <w:jc w:val="right"/>
              <w:rPr>
                <w:rFonts w:ascii="宋体" w:hAnsi="宋体"/>
              </w:rPr>
            </w:pPr>
            <w:r>
              <w:rPr>
                <w:rFonts w:hint="eastAsia" w:ascii="宋体" w:hAnsi="宋体"/>
              </w:rPr>
              <w:t>105,046,888.11</w:t>
            </w:r>
          </w:p>
        </w:tc>
        <w:tc>
          <w:tcPr>
            <w:tcW w:w="2127" w:type="dxa"/>
            <w:shd w:val="clear" w:color="auto" w:fill="auto"/>
          </w:tcPr>
          <w:p>
            <w:pPr>
              <w:jc w:val="right"/>
              <w:rPr>
                <w:rFonts w:ascii="宋体" w:hAnsi="宋体"/>
              </w:rPr>
            </w:pPr>
            <w:r>
              <w:rPr>
                <w:rFonts w:hint="eastAsia" w:ascii="宋体" w:hAnsi="宋体"/>
              </w:rPr>
              <w:t>112.39</w:t>
            </w:r>
          </w:p>
        </w:tc>
      </w:tr>
    </w:tbl>
    <w:p>
      <w:pPr>
        <w:spacing w:beforeLines="50" w:afterLines="50" w:line="360" w:lineRule="auto"/>
      </w:pPr>
    </w:p>
    <w:p>
      <w:pPr>
        <w:spacing w:beforeLines="50" w:afterLines="50" w:line="360" w:lineRule="auto"/>
      </w:pPr>
      <w:r>
        <w:rPr>
          <w:rFonts w:hint="eastAsia"/>
        </w:rPr>
        <w:t>注：由于四舍五入原因，各分项占资产总值的比例之和与合计可能存在尾差。</w:t>
      </w:r>
    </w:p>
    <w:p>
      <w:pPr>
        <w:spacing w:beforeLines="50" w:afterLines="50" w:line="360" w:lineRule="auto"/>
      </w:pPr>
    </w:p>
    <w:p>
      <w:pPr>
        <w:spacing w:beforeLines="50" w:afterLines="50" w:line="360" w:lineRule="auto"/>
      </w:pPr>
      <w:r>
        <w:t>5.2.</w:t>
      </w:r>
      <w:r>
        <w:rPr>
          <w:rFonts w:hint="eastAsia"/>
        </w:rPr>
        <w:t>3期末间接投资前十项持仓资产情况</w:t>
      </w:r>
    </w:p>
    <w:tbl>
      <w:tblPr>
        <w:tblStyle w:val="11"/>
        <w:tblW w:w="9192" w:type="dxa"/>
        <w:tblInd w:w="1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 w:type="dxa"/>
          <w:bottom w:w="0" w:type="dxa"/>
          <w:right w:w="10" w:type="dxa"/>
        </w:tblCellMar>
      </w:tblPr>
      <w:tblGrid>
        <w:gridCol w:w="592"/>
        <w:gridCol w:w="4349"/>
        <w:gridCol w:w="2138"/>
        <w:gridCol w:w="211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805" w:hRule="atLeast"/>
        </w:trPr>
        <w:tc>
          <w:tcPr>
            <w:tcW w:w="592" w:type="dxa"/>
            <w:shd w:val="clear" w:color="auto" w:fill="auto"/>
            <w:vAlign w:val="center"/>
          </w:tcPr>
          <w:p>
            <w:pPr>
              <w:jc w:val="center"/>
              <w:rPr>
                <w:szCs w:val="21"/>
              </w:rPr>
            </w:pPr>
            <w:r>
              <w:rPr>
                <w:rFonts w:hint="eastAsia" w:ascii="宋体"/>
                <w:szCs w:val="21"/>
              </w:rPr>
              <w:t>序号</w:t>
            </w:r>
          </w:p>
        </w:tc>
        <w:tc>
          <w:tcPr>
            <w:tcW w:w="4349" w:type="dxa"/>
            <w:shd w:val="clear" w:color="auto" w:fill="auto"/>
            <w:vAlign w:val="center"/>
          </w:tcPr>
          <w:p>
            <w:pPr>
              <w:jc w:val="center"/>
              <w:rPr>
                <w:szCs w:val="21"/>
              </w:rPr>
            </w:pPr>
            <w:r>
              <w:rPr>
                <w:rFonts w:hint="eastAsia" w:ascii="宋体"/>
                <w:szCs w:val="21"/>
              </w:rPr>
              <w:t>项目</w:t>
            </w:r>
          </w:p>
        </w:tc>
        <w:tc>
          <w:tcPr>
            <w:tcW w:w="2138" w:type="dxa"/>
            <w:shd w:val="clear" w:color="auto" w:fill="auto"/>
            <w:vAlign w:val="center"/>
          </w:tcPr>
          <w:p>
            <w:pPr>
              <w:jc w:val="center"/>
              <w:rPr>
                <w:szCs w:val="21"/>
              </w:rPr>
            </w:pPr>
            <w:r>
              <w:rPr>
                <w:rFonts w:hint="eastAsia" w:ascii="宋体"/>
                <w:szCs w:val="21"/>
              </w:rPr>
              <w:t>金额(元)</w:t>
            </w:r>
          </w:p>
        </w:tc>
        <w:tc>
          <w:tcPr>
            <w:tcW w:w="2113" w:type="dxa"/>
            <w:shd w:val="clear" w:color="auto" w:fill="auto"/>
            <w:vAlign w:val="center"/>
          </w:tcPr>
          <w:p>
            <w:pPr>
              <w:jc w:val="center"/>
              <w:rPr>
                <w:szCs w:val="21"/>
              </w:rPr>
            </w:pPr>
            <w:r>
              <w:rPr>
                <w:rFonts w:hint="eastAsia" w:ascii="宋体"/>
                <w:szCs w:val="21"/>
              </w:rPr>
              <w:t>占理财计划总资产的比例(%)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592" w:type="dxa"/>
            <w:shd w:val="clear" w:color="auto" w:fill="auto"/>
          </w:tcPr>
          <w:p>
            <w:pPr>
              <w:jc w:val="center"/>
              <w:rPr>
                <w:rFonts w:ascii="宋体"/>
                <w:szCs w:val="21"/>
              </w:rPr>
            </w:pPr>
            <w:r>
              <w:t>1</w:t>
            </w:r>
          </w:p>
        </w:tc>
        <w:tc>
          <w:tcPr>
            <w:tcW w:w="4349" w:type="dxa"/>
            <w:shd w:val="clear" w:color="auto" w:fill="auto"/>
          </w:tcPr>
          <w:p>
            <w:pPr>
              <w:jc w:val="left"/>
              <w:rPr>
                <w:rFonts w:ascii="宋体"/>
                <w:szCs w:val="21"/>
              </w:rPr>
            </w:pPr>
            <w:r>
              <w:t>000007</w:t>
            </w:r>
          </w:p>
        </w:tc>
        <w:tc>
          <w:tcPr>
            <w:tcW w:w="2138" w:type="dxa"/>
            <w:shd w:val="clear" w:color="auto" w:fill="auto"/>
          </w:tcPr>
          <w:p>
            <w:pPr>
              <w:jc w:val="right"/>
              <w:rPr>
                <w:rFonts w:ascii="宋体"/>
                <w:szCs w:val="21"/>
              </w:rPr>
            </w:pPr>
            <w:r>
              <w:t>9,093,326.30</w:t>
            </w:r>
          </w:p>
        </w:tc>
        <w:tc>
          <w:tcPr>
            <w:tcW w:w="2113" w:type="dxa"/>
            <w:shd w:val="clear" w:color="auto" w:fill="auto"/>
          </w:tcPr>
          <w:p>
            <w:pPr>
              <w:jc w:val="right"/>
              <w:rPr>
                <w:rFonts w:ascii="宋体"/>
                <w:szCs w:val="21"/>
              </w:rPr>
            </w:pPr>
            <w:r>
              <w:t>9.73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592" w:type="dxa"/>
            <w:shd w:val="clear" w:color="auto" w:fill="auto"/>
          </w:tcPr>
          <w:p>
            <w:pPr>
              <w:jc w:val="center"/>
              <w:rPr>
                <w:rFonts w:ascii="宋体"/>
                <w:szCs w:val="21"/>
              </w:rPr>
            </w:pPr>
            <w:r>
              <w:t>2</w:t>
            </w:r>
          </w:p>
        </w:tc>
        <w:tc>
          <w:tcPr>
            <w:tcW w:w="4349" w:type="dxa"/>
            <w:shd w:val="clear" w:color="auto" w:fill="auto"/>
          </w:tcPr>
          <w:p>
            <w:pPr>
              <w:jc w:val="left"/>
              <w:rPr>
                <w:rFonts w:ascii="宋体"/>
                <w:szCs w:val="21"/>
              </w:rPr>
            </w:pPr>
            <w:r>
              <w:t>20黔西南</w:t>
            </w:r>
          </w:p>
        </w:tc>
        <w:tc>
          <w:tcPr>
            <w:tcW w:w="2138" w:type="dxa"/>
            <w:shd w:val="clear" w:color="auto" w:fill="auto"/>
          </w:tcPr>
          <w:p>
            <w:pPr>
              <w:jc w:val="right"/>
              <w:rPr>
                <w:rFonts w:ascii="宋体"/>
                <w:szCs w:val="21"/>
              </w:rPr>
            </w:pPr>
            <w:r>
              <w:t>7,350,066.90</w:t>
            </w:r>
          </w:p>
        </w:tc>
        <w:tc>
          <w:tcPr>
            <w:tcW w:w="2113" w:type="dxa"/>
            <w:shd w:val="clear" w:color="auto" w:fill="auto"/>
          </w:tcPr>
          <w:p>
            <w:pPr>
              <w:jc w:val="right"/>
              <w:rPr>
                <w:rFonts w:ascii="宋体"/>
                <w:szCs w:val="21"/>
              </w:rPr>
            </w:pPr>
            <w:r>
              <w:t>7.86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592" w:type="dxa"/>
            <w:shd w:val="clear" w:color="auto" w:fill="auto"/>
          </w:tcPr>
          <w:p>
            <w:pPr>
              <w:jc w:val="center"/>
              <w:rPr>
                <w:rFonts w:ascii="宋体"/>
                <w:szCs w:val="21"/>
              </w:rPr>
            </w:pPr>
            <w:r>
              <w:t>3</w:t>
            </w:r>
          </w:p>
        </w:tc>
        <w:tc>
          <w:tcPr>
            <w:tcW w:w="4349" w:type="dxa"/>
            <w:shd w:val="clear" w:color="auto" w:fill="auto"/>
          </w:tcPr>
          <w:p>
            <w:pPr>
              <w:jc w:val="left"/>
              <w:rPr>
                <w:rFonts w:ascii="宋体"/>
                <w:szCs w:val="21"/>
              </w:rPr>
            </w:pPr>
            <w:r>
              <w:t>19佳源04</w:t>
            </w:r>
          </w:p>
        </w:tc>
        <w:tc>
          <w:tcPr>
            <w:tcW w:w="2138" w:type="dxa"/>
            <w:shd w:val="clear" w:color="auto" w:fill="auto"/>
          </w:tcPr>
          <w:p>
            <w:pPr>
              <w:jc w:val="right"/>
              <w:rPr>
                <w:rFonts w:ascii="宋体"/>
                <w:szCs w:val="21"/>
              </w:rPr>
            </w:pPr>
            <w:r>
              <w:t>7,237,042.39</w:t>
            </w:r>
          </w:p>
        </w:tc>
        <w:tc>
          <w:tcPr>
            <w:tcW w:w="2113" w:type="dxa"/>
            <w:shd w:val="clear" w:color="auto" w:fill="auto"/>
          </w:tcPr>
          <w:p>
            <w:pPr>
              <w:jc w:val="right"/>
              <w:rPr>
                <w:rFonts w:ascii="宋体"/>
                <w:szCs w:val="21"/>
              </w:rPr>
            </w:pPr>
            <w:r>
              <w:t>7.74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592" w:type="dxa"/>
            <w:shd w:val="clear" w:color="auto" w:fill="auto"/>
          </w:tcPr>
          <w:p>
            <w:pPr>
              <w:jc w:val="center"/>
              <w:rPr>
                <w:rFonts w:ascii="宋体"/>
                <w:szCs w:val="21"/>
              </w:rPr>
            </w:pPr>
            <w:r>
              <w:t>4</w:t>
            </w:r>
          </w:p>
        </w:tc>
        <w:tc>
          <w:tcPr>
            <w:tcW w:w="4349" w:type="dxa"/>
            <w:shd w:val="clear" w:color="auto" w:fill="auto"/>
          </w:tcPr>
          <w:p>
            <w:pPr>
              <w:jc w:val="left"/>
              <w:rPr>
                <w:rFonts w:ascii="宋体"/>
                <w:szCs w:val="21"/>
              </w:rPr>
            </w:pPr>
            <w:r>
              <w:t>20筑工01</w:t>
            </w:r>
          </w:p>
        </w:tc>
        <w:tc>
          <w:tcPr>
            <w:tcW w:w="2138" w:type="dxa"/>
            <w:shd w:val="clear" w:color="auto" w:fill="auto"/>
          </w:tcPr>
          <w:p>
            <w:pPr>
              <w:jc w:val="right"/>
              <w:rPr>
                <w:rFonts w:ascii="宋体"/>
                <w:szCs w:val="21"/>
              </w:rPr>
            </w:pPr>
            <w:r>
              <w:t>6,069,307.04</w:t>
            </w:r>
          </w:p>
        </w:tc>
        <w:tc>
          <w:tcPr>
            <w:tcW w:w="2113" w:type="dxa"/>
            <w:shd w:val="clear" w:color="auto" w:fill="auto"/>
          </w:tcPr>
          <w:p>
            <w:pPr>
              <w:jc w:val="right"/>
              <w:rPr>
                <w:rFonts w:ascii="宋体"/>
                <w:szCs w:val="21"/>
              </w:rPr>
            </w:pPr>
            <w:r>
              <w:t>6.49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592" w:type="dxa"/>
            <w:shd w:val="clear" w:color="auto" w:fill="auto"/>
          </w:tcPr>
          <w:p>
            <w:pPr>
              <w:jc w:val="center"/>
              <w:rPr>
                <w:rFonts w:ascii="宋体"/>
                <w:szCs w:val="21"/>
              </w:rPr>
            </w:pPr>
            <w:r>
              <w:t>5</w:t>
            </w:r>
          </w:p>
        </w:tc>
        <w:tc>
          <w:tcPr>
            <w:tcW w:w="4349" w:type="dxa"/>
            <w:shd w:val="clear" w:color="auto" w:fill="auto"/>
          </w:tcPr>
          <w:p>
            <w:pPr>
              <w:jc w:val="left"/>
              <w:rPr>
                <w:rFonts w:ascii="宋体"/>
                <w:szCs w:val="21"/>
              </w:rPr>
            </w:pPr>
            <w:r>
              <w:t>19贵合投资债</w:t>
            </w:r>
          </w:p>
        </w:tc>
        <w:tc>
          <w:tcPr>
            <w:tcW w:w="2138" w:type="dxa"/>
            <w:shd w:val="clear" w:color="auto" w:fill="auto"/>
          </w:tcPr>
          <w:p>
            <w:pPr>
              <w:jc w:val="right"/>
              <w:rPr>
                <w:rFonts w:ascii="宋体"/>
                <w:szCs w:val="21"/>
              </w:rPr>
            </w:pPr>
            <w:r>
              <w:t>4,818,478.36</w:t>
            </w:r>
          </w:p>
        </w:tc>
        <w:tc>
          <w:tcPr>
            <w:tcW w:w="2113" w:type="dxa"/>
            <w:shd w:val="clear" w:color="auto" w:fill="auto"/>
          </w:tcPr>
          <w:p>
            <w:pPr>
              <w:jc w:val="right"/>
              <w:rPr>
                <w:rFonts w:ascii="宋体"/>
                <w:szCs w:val="21"/>
              </w:rPr>
            </w:pPr>
            <w:r>
              <w:t>5.16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592" w:type="dxa"/>
            <w:shd w:val="clear" w:color="auto" w:fill="auto"/>
          </w:tcPr>
          <w:p>
            <w:pPr>
              <w:jc w:val="center"/>
              <w:rPr>
                <w:rFonts w:ascii="宋体"/>
                <w:szCs w:val="21"/>
              </w:rPr>
            </w:pPr>
            <w:r>
              <w:t>6</w:t>
            </w:r>
          </w:p>
        </w:tc>
        <w:tc>
          <w:tcPr>
            <w:tcW w:w="4349" w:type="dxa"/>
            <w:shd w:val="clear" w:color="auto" w:fill="auto"/>
          </w:tcPr>
          <w:p>
            <w:pPr>
              <w:jc w:val="left"/>
              <w:rPr>
                <w:rFonts w:ascii="宋体"/>
                <w:szCs w:val="21"/>
              </w:rPr>
            </w:pPr>
            <w:r>
              <w:t>19贵阳经开债01</w:t>
            </w:r>
          </w:p>
        </w:tc>
        <w:tc>
          <w:tcPr>
            <w:tcW w:w="2138" w:type="dxa"/>
            <w:shd w:val="clear" w:color="auto" w:fill="auto"/>
          </w:tcPr>
          <w:p>
            <w:pPr>
              <w:jc w:val="right"/>
              <w:rPr>
                <w:rFonts w:ascii="宋体"/>
                <w:szCs w:val="21"/>
              </w:rPr>
            </w:pPr>
            <w:r>
              <w:t>4,184,407.26</w:t>
            </w:r>
          </w:p>
        </w:tc>
        <w:tc>
          <w:tcPr>
            <w:tcW w:w="2113" w:type="dxa"/>
            <w:shd w:val="clear" w:color="auto" w:fill="auto"/>
          </w:tcPr>
          <w:p>
            <w:pPr>
              <w:jc w:val="right"/>
              <w:rPr>
                <w:rFonts w:ascii="宋体"/>
                <w:szCs w:val="21"/>
              </w:rPr>
            </w:pPr>
            <w:r>
              <w:t>4.48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592" w:type="dxa"/>
            <w:shd w:val="clear" w:color="auto" w:fill="auto"/>
          </w:tcPr>
          <w:p>
            <w:pPr>
              <w:jc w:val="center"/>
              <w:rPr>
                <w:rFonts w:ascii="宋体"/>
                <w:szCs w:val="21"/>
              </w:rPr>
            </w:pPr>
            <w:r>
              <w:t>7</w:t>
            </w:r>
          </w:p>
        </w:tc>
        <w:tc>
          <w:tcPr>
            <w:tcW w:w="4349" w:type="dxa"/>
            <w:shd w:val="clear" w:color="auto" w:fill="auto"/>
          </w:tcPr>
          <w:p>
            <w:pPr>
              <w:jc w:val="left"/>
              <w:rPr>
                <w:rFonts w:ascii="宋体"/>
                <w:szCs w:val="21"/>
              </w:rPr>
            </w:pPr>
            <w:r>
              <w:t>20黔交旅投债</w:t>
            </w:r>
          </w:p>
        </w:tc>
        <w:tc>
          <w:tcPr>
            <w:tcW w:w="2138" w:type="dxa"/>
            <w:shd w:val="clear" w:color="auto" w:fill="auto"/>
          </w:tcPr>
          <w:p>
            <w:pPr>
              <w:jc w:val="right"/>
              <w:rPr>
                <w:rFonts w:ascii="宋体"/>
                <w:szCs w:val="21"/>
              </w:rPr>
            </w:pPr>
            <w:r>
              <w:t>4,179,978.67</w:t>
            </w:r>
          </w:p>
        </w:tc>
        <w:tc>
          <w:tcPr>
            <w:tcW w:w="2113" w:type="dxa"/>
            <w:shd w:val="clear" w:color="auto" w:fill="auto"/>
          </w:tcPr>
          <w:p>
            <w:pPr>
              <w:jc w:val="right"/>
              <w:rPr>
                <w:rFonts w:ascii="宋体"/>
                <w:szCs w:val="21"/>
              </w:rPr>
            </w:pPr>
            <w:r>
              <w:t>4.47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592" w:type="dxa"/>
            <w:shd w:val="clear" w:color="auto" w:fill="auto"/>
          </w:tcPr>
          <w:p>
            <w:pPr>
              <w:jc w:val="center"/>
              <w:rPr>
                <w:rFonts w:ascii="宋体"/>
                <w:szCs w:val="21"/>
              </w:rPr>
            </w:pPr>
            <w:r>
              <w:t>8</w:t>
            </w:r>
          </w:p>
        </w:tc>
        <w:tc>
          <w:tcPr>
            <w:tcW w:w="4349" w:type="dxa"/>
            <w:shd w:val="clear" w:color="auto" w:fill="auto"/>
          </w:tcPr>
          <w:p>
            <w:pPr>
              <w:jc w:val="left"/>
              <w:rPr>
                <w:rFonts w:ascii="宋体"/>
                <w:szCs w:val="21"/>
              </w:rPr>
            </w:pPr>
            <w:r>
              <w:t>19贵高科</w:t>
            </w:r>
          </w:p>
        </w:tc>
        <w:tc>
          <w:tcPr>
            <w:tcW w:w="2138" w:type="dxa"/>
            <w:shd w:val="clear" w:color="auto" w:fill="auto"/>
          </w:tcPr>
          <w:p>
            <w:pPr>
              <w:jc w:val="right"/>
              <w:rPr>
                <w:rFonts w:ascii="宋体"/>
                <w:szCs w:val="21"/>
              </w:rPr>
            </w:pPr>
            <w:r>
              <w:t>4,167,147.21</w:t>
            </w:r>
          </w:p>
        </w:tc>
        <w:tc>
          <w:tcPr>
            <w:tcW w:w="2113" w:type="dxa"/>
            <w:shd w:val="clear" w:color="auto" w:fill="auto"/>
          </w:tcPr>
          <w:p>
            <w:pPr>
              <w:jc w:val="right"/>
              <w:rPr>
                <w:rFonts w:ascii="宋体"/>
                <w:szCs w:val="21"/>
              </w:rPr>
            </w:pPr>
            <w:r>
              <w:t>4.46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592" w:type="dxa"/>
            <w:shd w:val="clear" w:color="auto" w:fill="auto"/>
          </w:tcPr>
          <w:p>
            <w:pPr>
              <w:jc w:val="center"/>
              <w:rPr>
                <w:rFonts w:ascii="宋体"/>
                <w:szCs w:val="21"/>
              </w:rPr>
            </w:pPr>
            <w:r>
              <w:t>9</w:t>
            </w:r>
          </w:p>
        </w:tc>
        <w:tc>
          <w:tcPr>
            <w:tcW w:w="4349" w:type="dxa"/>
            <w:shd w:val="clear" w:color="auto" w:fill="auto"/>
          </w:tcPr>
          <w:p>
            <w:pPr>
              <w:jc w:val="left"/>
              <w:rPr>
                <w:rFonts w:ascii="宋体"/>
                <w:szCs w:val="21"/>
              </w:rPr>
            </w:pPr>
            <w:r>
              <w:t>20遵资01</w:t>
            </w:r>
          </w:p>
        </w:tc>
        <w:tc>
          <w:tcPr>
            <w:tcW w:w="2138" w:type="dxa"/>
            <w:shd w:val="clear" w:color="auto" w:fill="auto"/>
          </w:tcPr>
          <w:p>
            <w:pPr>
              <w:jc w:val="right"/>
              <w:rPr>
                <w:rFonts w:ascii="宋体"/>
                <w:szCs w:val="21"/>
              </w:rPr>
            </w:pPr>
            <w:r>
              <w:t>4,087,471.18</w:t>
            </w:r>
          </w:p>
        </w:tc>
        <w:tc>
          <w:tcPr>
            <w:tcW w:w="2113" w:type="dxa"/>
            <w:shd w:val="clear" w:color="auto" w:fill="auto"/>
          </w:tcPr>
          <w:p>
            <w:pPr>
              <w:jc w:val="right"/>
              <w:rPr>
                <w:rFonts w:ascii="宋体"/>
                <w:szCs w:val="21"/>
              </w:rPr>
            </w:pPr>
            <w:r>
              <w:t>4.37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592" w:type="dxa"/>
            <w:shd w:val="clear" w:color="auto" w:fill="auto"/>
          </w:tcPr>
          <w:p>
            <w:pPr>
              <w:jc w:val="center"/>
              <w:rPr>
                <w:rFonts w:ascii="宋体"/>
                <w:szCs w:val="21"/>
              </w:rPr>
            </w:pPr>
            <w:r>
              <w:t>10</w:t>
            </w:r>
          </w:p>
        </w:tc>
        <w:tc>
          <w:tcPr>
            <w:tcW w:w="4349" w:type="dxa"/>
            <w:shd w:val="clear" w:color="auto" w:fill="auto"/>
          </w:tcPr>
          <w:p>
            <w:pPr>
              <w:jc w:val="left"/>
              <w:rPr>
                <w:rFonts w:ascii="宋体"/>
                <w:szCs w:val="21"/>
              </w:rPr>
            </w:pPr>
            <w:r>
              <w:t>19佳源03</w:t>
            </w:r>
          </w:p>
        </w:tc>
        <w:tc>
          <w:tcPr>
            <w:tcW w:w="2138" w:type="dxa"/>
            <w:shd w:val="clear" w:color="auto" w:fill="auto"/>
          </w:tcPr>
          <w:p>
            <w:pPr>
              <w:jc w:val="right"/>
              <w:rPr>
                <w:rFonts w:ascii="宋体"/>
                <w:szCs w:val="21"/>
              </w:rPr>
            </w:pPr>
            <w:r>
              <w:t>3,790,957.53</w:t>
            </w:r>
          </w:p>
        </w:tc>
        <w:tc>
          <w:tcPr>
            <w:tcW w:w="2113" w:type="dxa"/>
            <w:shd w:val="clear" w:color="auto" w:fill="auto"/>
          </w:tcPr>
          <w:p>
            <w:pPr>
              <w:jc w:val="right"/>
              <w:rPr>
                <w:rFonts w:ascii="宋体"/>
                <w:szCs w:val="21"/>
              </w:rPr>
            </w:pPr>
            <w:r>
              <w:t>4.06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592" w:type="dxa"/>
            <w:shd w:val="clear" w:color="auto" w:fill="auto"/>
          </w:tcPr>
          <w:p>
            <w:pPr>
              <w:jc w:val="center"/>
              <w:rPr>
                <w:rFonts w:ascii="宋体"/>
                <w:szCs w:val="21"/>
              </w:rPr>
            </w:pPr>
          </w:p>
        </w:tc>
        <w:tc>
          <w:tcPr>
            <w:tcW w:w="4349" w:type="dxa"/>
            <w:shd w:val="clear" w:color="auto" w:fill="auto"/>
          </w:tcPr>
          <w:p>
            <w:pPr>
              <w:jc w:val="left"/>
              <w:rPr>
                <w:rFonts w:ascii="宋体"/>
                <w:szCs w:val="21"/>
              </w:rPr>
            </w:pPr>
            <w:r>
              <w:t>合计</w:t>
            </w:r>
          </w:p>
        </w:tc>
        <w:tc>
          <w:tcPr>
            <w:tcW w:w="2138" w:type="dxa"/>
            <w:shd w:val="clear" w:color="auto" w:fill="auto"/>
          </w:tcPr>
          <w:p>
            <w:pPr>
              <w:jc w:val="right"/>
              <w:rPr>
                <w:rFonts w:ascii="宋体"/>
                <w:szCs w:val="21"/>
              </w:rPr>
            </w:pPr>
            <w:r>
              <w:t>54,978,182.85</w:t>
            </w:r>
          </w:p>
        </w:tc>
        <w:tc>
          <w:tcPr>
            <w:tcW w:w="2113" w:type="dxa"/>
            <w:shd w:val="clear" w:color="auto" w:fill="auto"/>
          </w:tcPr>
          <w:p>
            <w:pPr>
              <w:jc w:val="right"/>
              <w:rPr>
                <w:rFonts w:ascii="宋体"/>
                <w:szCs w:val="21"/>
              </w:rPr>
            </w:pPr>
            <w:r>
              <w:t>58.82</w:t>
            </w:r>
          </w:p>
        </w:tc>
      </w:tr>
    </w:tbl>
    <w:p>
      <w:pPr>
        <w:spacing w:beforeLines="50" w:afterLines="50" w:line="360" w:lineRule="auto"/>
      </w:pPr>
      <w:r>
        <w:tab/>
      </w:r>
      <w:r>
        <w:rPr>
          <w:rFonts w:hint="eastAsia"/>
        </w:rPr>
        <w:t>注：由于四舍五入原因，各分项占资产总值的比例之和与合计可能存在尾差。</w:t>
      </w:r>
    </w:p>
    <w:p>
      <w:pPr>
        <w:spacing w:beforeLines="50" w:afterLines="50" w:line="360" w:lineRule="auto"/>
      </w:pPr>
    </w:p>
    <w:p>
      <w:pPr>
        <w:spacing w:beforeLines="50" w:afterLines="50" w:line="360" w:lineRule="auto"/>
        <w:rPr>
          <w:b/>
        </w:rPr>
      </w:pPr>
      <w:r>
        <w:rPr>
          <w:b/>
        </w:rPr>
        <w:t>5.3</w:t>
      </w:r>
      <w:r>
        <w:rPr>
          <w:rFonts w:hint="eastAsia"/>
          <w:b/>
        </w:rPr>
        <w:t>所投资非标准化债权类资产情况</w:t>
      </w:r>
    </w:p>
    <w:p>
      <w:pPr>
        <w:spacing w:beforeLines="50" w:afterLines="50" w:line="360" w:lineRule="auto"/>
        <w:rPr>
          <w:rFonts w:ascii="宋体" w:hAnsi="宋体"/>
          <w:szCs w:val="21"/>
        </w:rPr>
      </w:pPr>
      <w:r>
        <w:rPr>
          <w:rFonts w:hint="eastAsia" w:ascii="宋体" w:hAnsi="宋体"/>
          <w:szCs w:val="21"/>
        </w:rPr>
        <w:tab/>
      </w:r>
      <w:r>
        <w:rPr>
          <w:rFonts w:ascii="宋体" w:hAnsi="宋体"/>
          <w:szCs w:val="21"/>
        </w:rPr>
        <w:t>本报告期内，本理财计划未投资非标准化债权类资产。</w:t>
      </w:r>
    </w:p>
    <w:p>
      <w:pPr>
        <w:spacing w:beforeLines="50" w:afterLines="50" w:line="360" w:lineRule="auto"/>
        <w:rPr>
          <w:b/>
        </w:rPr>
      </w:pPr>
    </w:p>
    <w:p>
      <w:pPr>
        <w:spacing w:beforeLines="50" w:afterLines="50" w:line="360" w:lineRule="auto"/>
        <w:rPr>
          <w:b/>
        </w:rPr>
      </w:pPr>
      <w:r>
        <w:rPr>
          <w:b/>
        </w:rPr>
        <w:t>5.4</w:t>
      </w:r>
      <w:r>
        <w:rPr>
          <w:rFonts w:hint="eastAsia"/>
          <w:b/>
        </w:rPr>
        <w:t>投资组合的流动性风险分析</w:t>
      </w:r>
    </w:p>
    <w:p>
      <w:pPr>
        <w:spacing w:beforeLines="50" w:afterLines="50" w:line="360" w:lineRule="atLeast"/>
        <w:ind w:firstLine="420" w:firstLineChars="200"/>
        <w:rPr>
          <w:rFonts w:ascii="宋体"/>
          <w:color w:val="FF0000"/>
        </w:rPr>
      </w:pPr>
      <w:r>
        <w:rPr>
          <w:rFonts w:hint="eastAsia" w:ascii="宋体"/>
          <w:color w:val="FF0000"/>
        </w:rPr>
        <w:t>流动性风险是指因市场内部和外部的原因造成理财产品所持金融工具变现的难易程度，如果持有资产不能迅速变成现金，或者变现时对理财产品净值产生冲击成本，都会影响资产运作和收益水平。尤其是在资产委托人进行大额退出申请时，如果资产管理计划变现能力差，可能会产生资产管理计划财产调整的困难，导致流动性风险，从而影响资产管理计划财产收益。本产品为封闭式理财产品，资产配置主要包括现金、同业回购等货币市场工具、债券和基金等满足安全性和流动性要求的金融产品，具有较好的流动性，可变现能力较强。此外，我行在报告期内对持有债券及整体组合进行市值分析，根据市场行情调整投资方案和具体的交易策略，降低外部事件对我行投资组合的流动性风险。</w:t>
      </w:r>
    </w:p>
    <w:p>
      <w:pPr>
        <w:spacing w:beforeLines="50" w:afterLines="50" w:line="360" w:lineRule="atLeast"/>
        <w:ind w:firstLine="420" w:firstLineChars="200"/>
        <w:rPr>
          <w:rFonts w:ascii="宋体"/>
        </w:rPr>
      </w:pPr>
      <w:r>
        <w:rPr>
          <w:rFonts w:hint="eastAsia" w:ascii="宋体"/>
        </w:rPr>
        <w:t xml:space="preserve"> </w:t>
      </w:r>
    </w:p>
    <w:p>
      <w:pPr>
        <w:spacing w:beforeLines="50" w:afterLines="50" w:line="360" w:lineRule="auto"/>
        <w:jc w:val="center"/>
      </w:pPr>
      <w:r>
        <w:rPr>
          <w:rFonts w:hint="eastAsia" w:asciiTheme="minorEastAsia" w:hAnsiTheme="minorEastAsia" w:eastAsiaTheme="minorEastAsia"/>
          <w:b/>
          <w:sz w:val="24"/>
          <w:szCs w:val="24"/>
        </w:rPr>
        <w:t>§</w:t>
      </w:r>
      <w:r>
        <w:rPr>
          <w:rFonts w:asciiTheme="minorEastAsia" w:hAnsiTheme="minorEastAsia" w:eastAsiaTheme="minorEastAsia"/>
          <w:b/>
          <w:sz w:val="24"/>
          <w:szCs w:val="24"/>
        </w:rPr>
        <w:t>6</w:t>
      </w:r>
      <w:r>
        <w:rPr>
          <w:rFonts w:hint="eastAsia" w:asciiTheme="minorEastAsia" w:hAnsiTheme="minorEastAsia" w:eastAsiaTheme="minorEastAsia"/>
          <w:b/>
          <w:sz w:val="24"/>
          <w:szCs w:val="24"/>
        </w:rPr>
        <w:t xml:space="preserve"> 关联交易情况说明</w:t>
      </w:r>
    </w:p>
    <w:p>
      <w:pPr>
        <w:rPr>
          <w:color w:val="FF0000"/>
        </w:rPr>
      </w:pPr>
      <w:r>
        <w:rPr>
          <w:rFonts w:hint="eastAsia" w:ascii="宋体"/>
        </w:rPr>
        <w:tab/>
      </w:r>
      <w:r>
        <w:rPr>
          <w:rFonts w:hint="eastAsia" w:ascii="宋体"/>
          <w:color w:val="FF0000"/>
        </w:rPr>
        <w:t>本报告期内，本计划未发生关联交易。</w:t>
      </w:r>
    </w:p>
    <w:p>
      <w:pPr>
        <w:spacing w:line="360" w:lineRule="auto"/>
      </w:pPr>
    </w:p>
    <w:p>
      <w:pPr>
        <w:spacing w:beforeLines="50" w:afterLines="50" w:line="360" w:lineRule="auto"/>
        <w:jc w:val="center"/>
      </w:pPr>
      <w:r>
        <w:rPr>
          <w:rFonts w:hint="eastAsia" w:asciiTheme="minorEastAsia" w:hAnsiTheme="minorEastAsia" w:eastAsiaTheme="minorEastAsia"/>
          <w:b/>
          <w:sz w:val="24"/>
          <w:szCs w:val="24"/>
        </w:rPr>
        <w:t>§</w:t>
      </w:r>
      <w:r>
        <w:rPr>
          <w:rFonts w:asciiTheme="minorEastAsia" w:hAnsiTheme="minorEastAsia" w:eastAsiaTheme="minorEastAsia"/>
          <w:b/>
          <w:sz w:val="24"/>
          <w:szCs w:val="24"/>
        </w:rPr>
        <w:t>7</w:t>
      </w:r>
      <w:r>
        <w:rPr>
          <w:rFonts w:hint="eastAsia" w:asciiTheme="minorEastAsia" w:hAnsiTheme="minorEastAsia" w:eastAsiaTheme="minorEastAsia"/>
          <w:b/>
          <w:sz w:val="24"/>
          <w:szCs w:val="24"/>
        </w:rPr>
        <w:t xml:space="preserve"> 影响投资者决策的其他重要信息</w:t>
      </w:r>
    </w:p>
    <w:p>
      <w:pPr>
        <w:spacing w:line="360" w:lineRule="auto"/>
      </w:pPr>
      <w:r>
        <w:t>7.1 影响投资者决策的其他重要信息</w:t>
      </w:r>
    </w:p>
    <w:p>
      <w:pPr>
        <w:spacing w:line="360" w:lineRule="auto"/>
      </w:pPr>
      <w:r>
        <w:t>无。</w:t>
      </w:r>
    </w:p>
    <w:p>
      <w:pPr>
        <w:spacing w:line="360" w:lineRule="auto"/>
      </w:pPr>
    </w:p>
    <w:p>
      <w:pPr>
        <w:spacing w:line="360" w:lineRule="auto"/>
      </w:pPr>
      <w:r>
        <w:t>7.2其他事项。</w:t>
      </w:r>
    </w:p>
    <w:p>
      <w:pPr>
        <w:spacing w:line="360" w:lineRule="auto"/>
      </w:pPr>
      <w:r>
        <w:t>无。</w:t>
      </w:r>
    </w:p>
    <w:p>
      <w:pPr>
        <w:spacing w:beforeLines="50" w:afterLines="50" w:line="360" w:lineRule="auto"/>
        <w:jc w:val="center"/>
        <w:rPr>
          <w:rFonts w:asciiTheme="minorEastAsia" w:hAnsiTheme="minorEastAsia" w:eastAsiaTheme="minorEastAsia"/>
          <w:b/>
          <w:sz w:val="24"/>
          <w:szCs w:val="24"/>
        </w:rPr>
      </w:pPr>
      <w:r>
        <w:rPr>
          <w:rFonts w:hint="eastAsia" w:asciiTheme="minorEastAsia" w:hAnsiTheme="minorEastAsia" w:eastAsiaTheme="minorEastAsia"/>
          <w:b/>
          <w:sz w:val="24"/>
          <w:szCs w:val="24"/>
        </w:rPr>
        <w:t>§</w:t>
      </w:r>
      <w:r>
        <w:rPr>
          <w:rFonts w:asciiTheme="minorEastAsia" w:hAnsiTheme="minorEastAsia" w:eastAsiaTheme="minorEastAsia"/>
          <w:b/>
          <w:sz w:val="24"/>
          <w:szCs w:val="24"/>
        </w:rPr>
        <w:t>8</w:t>
      </w:r>
      <w:r>
        <w:rPr>
          <w:rFonts w:hint="eastAsia" w:asciiTheme="minorEastAsia" w:hAnsiTheme="minorEastAsia" w:eastAsiaTheme="minorEastAsia"/>
          <w:b/>
          <w:sz w:val="24"/>
          <w:szCs w:val="24"/>
        </w:rPr>
        <w:t xml:space="preserve"> 托管人报告</w:t>
      </w:r>
    </w:p>
    <w:p>
      <w:pPr>
        <w:spacing w:line="360" w:lineRule="auto"/>
        <w:ind w:right="-107" w:rightChars="-51" w:firstLine="420" w:firstLineChars="200"/>
        <w:jc w:val="left"/>
        <w:rPr>
          <w:rFonts w:ascii="宋体" w:hAnsi="宋体"/>
          <w:szCs w:val="21"/>
        </w:rPr>
      </w:pPr>
      <w:r>
        <w:rPr>
          <w:rFonts w:hint="eastAsia" w:ascii="宋体" w:hAnsi="宋体"/>
          <w:szCs w:val="21"/>
        </w:rPr>
        <w:t>招商银行具备完善的公司治理结构、内部稽核监控制度和风险控制制度，我行在履行托管职责中，严格遵守有关法律法规、托管协议的规定，尽职尽责地履行托管义务并安全保管托管资产。</w:t>
      </w:r>
    </w:p>
    <w:p>
      <w:pPr>
        <w:spacing w:line="360" w:lineRule="auto"/>
      </w:pPr>
    </w:p>
    <w:p>
      <w:pPr>
        <w:spacing w:line="360" w:lineRule="auto"/>
      </w:pPr>
    </w:p>
    <w:p>
      <w:pPr>
        <w:spacing w:line="360" w:lineRule="auto"/>
        <w:rPr>
          <w:color w:val="FF0000"/>
        </w:rPr>
      </w:pPr>
      <w:r>
        <w:rPr>
          <w:color w:val="FF0000"/>
        </w:rPr>
        <w:t>查阅方式网站：http://www.gynsh.com咨询电话：0851-88115057</w:t>
      </w:r>
    </w:p>
    <w:p>
      <w:pPr>
        <w:spacing w:line="360" w:lineRule="auto"/>
        <w:jc w:val="right"/>
        <w:rPr>
          <w:rFonts w:ascii="宋体" w:hAnsi="宋体"/>
          <w:szCs w:val="21"/>
        </w:rPr>
      </w:pPr>
      <w:r>
        <w:rPr>
          <w:rFonts w:ascii="宋体" w:hAnsi="宋体"/>
          <w:szCs w:val="21"/>
        </w:rPr>
        <w:t>贵阳农村商业银行股份有限公司</w:t>
      </w:r>
    </w:p>
    <w:p>
      <w:pPr>
        <w:spacing w:line="360" w:lineRule="auto"/>
        <w:jc w:val="right"/>
        <w:rPr>
          <w:rFonts w:ascii="宋体" w:hAnsi="宋体"/>
          <w:szCs w:val="21"/>
        </w:rPr>
      </w:pPr>
      <w:bookmarkStart w:id="9" w:name="OLE_LINK10"/>
      <w:bookmarkStart w:id="10" w:name="OLE_LINK11"/>
      <w:r>
        <w:rPr>
          <w:rFonts w:ascii="宋体" w:hAnsi="宋体"/>
          <w:szCs w:val="21"/>
        </w:rPr>
        <w:t>2021年08月29日</w:t>
      </w:r>
      <w:bookmarkEnd w:id="9"/>
      <w:bookmarkEnd w:id="1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 w:name="方正小标宋简体">
    <w:panose1 w:val="03000509000000000000"/>
    <w:charset w:val="86"/>
    <w:family w:val="script"/>
    <w:pitch w:val="default"/>
    <w:sig w:usb0="00000001" w:usb1="080E0000" w:usb2="00000000" w:usb3="00000000" w:csb0="00040000" w:csb1="00000000"/>
  </w:font>
  <w:font w:name="微软雅黑">
    <w:panose1 w:val="020B0503020204020204"/>
    <w:charset w:val="86"/>
    <w:family w:val="swiss"/>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1"/>
  <w:bordersDoNotSurroundFooter w:val="1"/>
  <w:documentProtection w:edit="readOnly" w:enforcement="1" w:cryptProviderType="rsaFull" w:cryptAlgorithmClass="hash" w:cryptAlgorithmType="typeAny" w:cryptAlgorithmSid="4" w:cryptSpinCount="0" w:hash="AHamViJ0FuDGmESTzKITqQ81+AM=" w:salt="RSbizIk02dbyfULiiZSY5g=="/>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88229F"/>
    <w:rsid w:val="000016F0"/>
    <w:rsid w:val="000019DD"/>
    <w:rsid w:val="00015FAD"/>
    <w:rsid w:val="00027C01"/>
    <w:rsid w:val="00030234"/>
    <w:rsid w:val="00030D78"/>
    <w:rsid w:val="00033216"/>
    <w:rsid w:val="000420CB"/>
    <w:rsid w:val="00051A5E"/>
    <w:rsid w:val="00051F66"/>
    <w:rsid w:val="000841F1"/>
    <w:rsid w:val="00091C41"/>
    <w:rsid w:val="000A071D"/>
    <w:rsid w:val="000B1DF6"/>
    <w:rsid w:val="000D2B57"/>
    <w:rsid w:val="000D55B2"/>
    <w:rsid w:val="000E5B13"/>
    <w:rsid w:val="000E7CE6"/>
    <w:rsid w:val="00107817"/>
    <w:rsid w:val="00126D1F"/>
    <w:rsid w:val="00154BFD"/>
    <w:rsid w:val="00183822"/>
    <w:rsid w:val="001A7E08"/>
    <w:rsid w:val="001C3FD1"/>
    <w:rsid w:val="001C5AB6"/>
    <w:rsid w:val="001D4A06"/>
    <w:rsid w:val="001D65A6"/>
    <w:rsid w:val="00201555"/>
    <w:rsid w:val="00203DE0"/>
    <w:rsid w:val="002173B4"/>
    <w:rsid w:val="002173D7"/>
    <w:rsid w:val="002271D8"/>
    <w:rsid w:val="002339B0"/>
    <w:rsid w:val="00237338"/>
    <w:rsid w:val="002406B1"/>
    <w:rsid w:val="0026096E"/>
    <w:rsid w:val="002844EB"/>
    <w:rsid w:val="00284894"/>
    <w:rsid w:val="002868DE"/>
    <w:rsid w:val="00287831"/>
    <w:rsid w:val="00287DC8"/>
    <w:rsid w:val="00290E89"/>
    <w:rsid w:val="00292EB2"/>
    <w:rsid w:val="00295FB9"/>
    <w:rsid w:val="002B02CF"/>
    <w:rsid w:val="002C36FC"/>
    <w:rsid w:val="002D2A83"/>
    <w:rsid w:val="002D5C47"/>
    <w:rsid w:val="002D5DC1"/>
    <w:rsid w:val="002E0CAF"/>
    <w:rsid w:val="002E2473"/>
    <w:rsid w:val="002F2CDE"/>
    <w:rsid w:val="003030A1"/>
    <w:rsid w:val="00332BF6"/>
    <w:rsid w:val="00345138"/>
    <w:rsid w:val="00347B23"/>
    <w:rsid w:val="00357D78"/>
    <w:rsid w:val="00383097"/>
    <w:rsid w:val="00383F8D"/>
    <w:rsid w:val="003862F3"/>
    <w:rsid w:val="003962BF"/>
    <w:rsid w:val="003A233F"/>
    <w:rsid w:val="003C0D70"/>
    <w:rsid w:val="003F11E9"/>
    <w:rsid w:val="0040185E"/>
    <w:rsid w:val="00416640"/>
    <w:rsid w:val="004249DF"/>
    <w:rsid w:val="00425A8D"/>
    <w:rsid w:val="004276F4"/>
    <w:rsid w:val="00456DD0"/>
    <w:rsid w:val="004725E7"/>
    <w:rsid w:val="004747B0"/>
    <w:rsid w:val="00477D60"/>
    <w:rsid w:val="00483E7F"/>
    <w:rsid w:val="00494EE4"/>
    <w:rsid w:val="004C51C7"/>
    <w:rsid w:val="004E4337"/>
    <w:rsid w:val="005006CE"/>
    <w:rsid w:val="0050305E"/>
    <w:rsid w:val="005030C6"/>
    <w:rsid w:val="00531FE9"/>
    <w:rsid w:val="00553420"/>
    <w:rsid w:val="00571FC5"/>
    <w:rsid w:val="00581537"/>
    <w:rsid w:val="00587297"/>
    <w:rsid w:val="005A3474"/>
    <w:rsid w:val="005C161C"/>
    <w:rsid w:val="005D6CCB"/>
    <w:rsid w:val="005D790B"/>
    <w:rsid w:val="005F2112"/>
    <w:rsid w:val="005F441A"/>
    <w:rsid w:val="005F62A5"/>
    <w:rsid w:val="0063629A"/>
    <w:rsid w:val="00645054"/>
    <w:rsid w:val="006451EF"/>
    <w:rsid w:val="00646CFC"/>
    <w:rsid w:val="00653D36"/>
    <w:rsid w:val="00667327"/>
    <w:rsid w:val="006A1341"/>
    <w:rsid w:val="006B2602"/>
    <w:rsid w:val="006C22D1"/>
    <w:rsid w:val="00702058"/>
    <w:rsid w:val="00712AEC"/>
    <w:rsid w:val="00726F60"/>
    <w:rsid w:val="00742837"/>
    <w:rsid w:val="00761C6E"/>
    <w:rsid w:val="00762513"/>
    <w:rsid w:val="00767B2A"/>
    <w:rsid w:val="00780405"/>
    <w:rsid w:val="0078617B"/>
    <w:rsid w:val="00786475"/>
    <w:rsid w:val="007901B6"/>
    <w:rsid w:val="007948E4"/>
    <w:rsid w:val="007B0C45"/>
    <w:rsid w:val="007C435E"/>
    <w:rsid w:val="007C5664"/>
    <w:rsid w:val="007D3498"/>
    <w:rsid w:val="007D5CDC"/>
    <w:rsid w:val="007F0C0F"/>
    <w:rsid w:val="00804B54"/>
    <w:rsid w:val="00814183"/>
    <w:rsid w:val="00825FC3"/>
    <w:rsid w:val="00854720"/>
    <w:rsid w:val="0086104D"/>
    <w:rsid w:val="00877FC5"/>
    <w:rsid w:val="0088229F"/>
    <w:rsid w:val="00883B68"/>
    <w:rsid w:val="00894A82"/>
    <w:rsid w:val="00895911"/>
    <w:rsid w:val="008A542C"/>
    <w:rsid w:val="008B7B35"/>
    <w:rsid w:val="008C5DB1"/>
    <w:rsid w:val="008E26E4"/>
    <w:rsid w:val="008E5482"/>
    <w:rsid w:val="008E6772"/>
    <w:rsid w:val="008F796E"/>
    <w:rsid w:val="00900D24"/>
    <w:rsid w:val="00920C08"/>
    <w:rsid w:val="00943B76"/>
    <w:rsid w:val="00963A2D"/>
    <w:rsid w:val="009A3C83"/>
    <w:rsid w:val="009B2149"/>
    <w:rsid w:val="009C466A"/>
    <w:rsid w:val="00A07646"/>
    <w:rsid w:val="00A14A90"/>
    <w:rsid w:val="00A1566D"/>
    <w:rsid w:val="00A16A26"/>
    <w:rsid w:val="00A21EB6"/>
    <w:rsid w:val="00A228AA"/>
    <w:rsid w:val="00A2478C"/>
    <w:rsid w:val="00A503C0"/>
    <w:rsid w:val="00A66732"/>
    <w:rsid w:val="00A772DE"/>
    <w:rsid w:val="00A77E80"/>
    <w:rsid w:val="00A91C04"/>
    <w:rsid w:val="00A9388B"/>
    <w:rsid w:val="00AA2376"/>
    <w:rsid w:val="00AB12BE"/>
    <w:rsid w:val="00AC072E"/>
    <w:rsid w:val="00AF722A"/>
    <w:rsid w:val="00B21D79"/>
    <w:rsid w:val="00B405D7"/>
    <w:rsid w:val="00B41475"/>
    <w:rsid w:val="00B44902"/>
    <w:rsid w:val="00B55514"/>
    <w:rsid w:val="00B60E75"/>
    <w:rsid w:val="00B74FAC"/>
    <w:rsid w:val="00B92A2E"/>
    <w:rsid w:val="00BA1947"/>
    <w:rsid w:val="00BA7A4A"/>
    <w:rsid w:val="00BC77E0"/>
    <w:rsid w:val="00BF504D"/>
    <w:rsid w:val="00C104F2"/>
    <w:rsid w:val="00C20261"/>
    <w:rsid w:val="00C27DAA"/>
    <w:rsid w:val="00C418EC"/>
    <w:rsid w:val="00C6693D"/>
    <w:rsid w:val="00C723E7"/>
    <w:rsid w:val="00C97FFD"/>
    <w:rsid w:val="00CA12EC"/>
    <w:rsid w:val="00CA43AB"/>
    <w:rsid w:val="00CC3B52"/>
    <w:rsid w:val="00CE0966"/>
    <w:rsid w:val="00D14180"/>
    <w:rsid w:val="00D279D1"/>
    <w:rsid w:val="00D65694"/>
    <w:rsid w:val="00D81A57"/>
    <w:rsid w:val="00D84094"/>
    <w:rsid w:val="00D946BC"/>
    <w:rsid w:val="00DA126F"/>
    <w:rsid w:val="00DA31CC"/>
    <w:rsid w:val="00DD4936"/>
    <w:rsid w:val="00DE13C5"/>
    <w:rsid w:val="00E13B74"/>
    <w:rsid w:val="00E27134"/>
    <w:rsid w:val="00E406D9"/>
    <w:rsid w:val="00E41A55"/>
    <w:rsid w:val="00E4232D"/>
    <w:rsid w:val="00E47D15"/>
    <w:rsid w:val="00E54AC0"/>
    <w:rsid w:val="00E64F2B"/>
    <w:rsid w:val="00E67BA7"/>
    <w:rsid w:val="00E80493"/>
    <w:rsid w:val="00ED09B9"/>
    <w:rsid w:val="00EF6952"/>
    <w:rsid w:val="00F00CEE"/>
    <w:rsid w:val="00F102BC"/>
    <w:rsid w:val="00F33553"/>
    <w:rsid w:val="00F41A65"/>
    <w:rsid w:val="00F41C91"/>
    <w:rsid w:val="00F85C1D"/>
    <w:rsid w:val="00FA3ABD"/>
    <w:rsid w:val="00FB3B64"/>
    <w:rsid w:val="00FB3BCD"/>
    <w:rsid w:val="00FB604B"/>
    <w:rsid w:val="00FB6F22"/>
    <w:rsid w:val="00FC30A1"/>
    <w:rsid w:val="00FE0EB8"/>
    <w:rsid w:val="00FE6999"/>
    <w:rsid w:val="360A2BDA"/>
  </w:rsids>
  <m:mathPr>
    <m:mathFont m:val="Cambria Math"/>
    <m:brkBin m:val="before"/>
    <m:brkBinSub m:val="--"/>
    <m:smallFrac m:val="0"/>
    <m:dispDef m:val="0"/>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0"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iPriority="1"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link w:val="15"/>
    <w:qFormat/>
    <w:uiPriority w:val="0"/>
    <w:pPr>
      <w:keepNext/>
      <w:keepLines/>
      <w:spacing w:before="340" w:after="330" w:line="576" w:lineRule="auto"/>
      <w:outlineLvl w:val="0"/>
    </w:pPr>
    <w:rPr>
      <w:b/>
      <w:kern w:val="44"/>
      <w:sz w:val="44"/>
    </w:rPr>
  </w:style>
  <w:style w:type="paragraph" w:styleId="3">
    <w:name w:val="heading 2"/>
    <w:basedOn w:val="1"/>
    <w:next w:val="1"/>
    <w:link w:val="16"/>
    <w:semiHidden/>
    <w:unhideWhenUsed/>
    <w:qFormat/>
    <w:uiPriority w:val="0"/>
    <w:pPr>
      <w:keepNext/>
      <w:keepLines/>
      <w:spacing w:before="260" w:after="260" w:line="408" w:lineRule="auto"/>
      <w:outlineLvl w:val="1"/>
    </w:pPr>
    <w:rPr>
      <w:rFonts w:ascii="Arial" w:hAnsi="Arial" w:eastAsia="黑体"/>
      <w:b/>
      <w:sz w:val="32"/>
    </w:rPr>
  </w:style>
  <w:style w:type="character" w:default="1" w:styleId="13">
    <w:name w:val="Default Paragraph Font"/>
    <w:semiHidden/>
    <w:unhideWhenUsed/>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4">
    <w:name w:val="annotation text"/>
    <w:basedOn w:val="1"/>
    <w:link w:val="17"/>
    <w:semiHidden/>
    <w:unhideWhenUsed/>
    <w:uiPriority w:val="0"/>
    <w:pPr>
      <w:jc w:val="left"/>
    </w:pPr>
    <w:rPr>
      <w:rFonts w:asciiTheme="minorHAnsi" w:hAnsiTheme="minorHAnsi" w:cstheme="minorBidi"/>
      <w:szCs w:val="22"/>
    </w:rPr>
  </w:style>
  <w:style w:type="paragraph" w:styleId="5">
    <w:name w:val="Body Text"/>
    <w:basedOn w:val="1"/>
    <w:link w:val="20"/>
    <w:semiHidden/>
    <w:unhideWhenUsed/>
    <w:qFormat/>
    <w:uiPriority w:val="1"/>
    <w:pPr>
      <w:spacing w:before="19"/>
      <w:ind w:left="479"/>
      <w:jc w:val="left"/>
    </w:pPr>
    <w:rPr>
      <w:rFonts w:ascii="宋体" w:hAnsi="宋体" w:cstheme="minorBidi"/>
      <w:kern w:val="0"/>
      <w:sz w:val="18"/>
      <w:szCs w:val="18"/>
      <w:lang w:eastAsia="en-US"/>
    </w:rPr>
  </w:style>
  <w:style w:type="paragraph" w:styleId="6">
    <w:name w:val="Date"/>
    <w:basedOn w:val="1"/>
    <w:next w:val="1"/>
    <w:link w:val="24"/>
    <w:semiHidden/>
    <w:unhideWhenUsed/>
    <w:uiPriority w:val="99"/>
    <w:pPr>
      <w:ind w:left="100" w:leftChars="2500"/>
    </w:pPr>
  </w:style>
  <w:style w:type="paragraph" w:styleId="7">
    <w:name w:val="Balloon Text"/>
    <w:basedOn w:val="1"/>
    <w:link w:val="22"/>
    <w:semiHidden/>
    <w:unhideWhenUsed/>
    <w:uiPriority w:val="99"/>
    <w:rPr>
      <w:sz w:val="18"/>
      <w:szCs w:val="18"/>
    </w:rPr>
  </w:style>
  <w:style w:type="paragraph" w:styleId="8">
    <w:name w:val="footer"/>
    <w:basedOn w:val="1"/>
    <w:link w:val="19"/>
    <w:unhideWhenUsed/>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9">
    <w:name w:val="header"/>
    <w:basedOn w:val="1"/>
    <w:link w:val="18"/>
    <w:unhideWhenUsed/>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10">
    <w:name w:val="annotation subject"/>
    <w:basedOn w:val="4"/>
    <w:next w:val="4"/>
    <w:link w:val="21"/>
    <w:semiHidden/>
    <w:unhideWhenUsed/>
    <w:uiPriority w:val="99"/>
    <w:rPr>
      <w:rFonts w:ascii="Times New Roman" w:hAnsi="Times New Roman" w:cs="Times New Roman"/>
      <w:b/>
      <w:bCs/>
      <w:szCs w:val="20"/>
    </w:rPr>
  </w:style>
  <w:style w:type="table" w:styleId="12">
    <w:name w:val="Table Grid"/>
    <w:basedOn w:val="11"/>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styleId="14">
    <w:name w:val="annotation reference"/>
    <w:semiHidden/>
    <w:unhideWhenUsed/>
    <w:uiPriority w:val="0"/>
    <w:rPr>
      <w:sz w:val="21"/>
    </w:rPr>
  </w:style>
  <w:style w:type="character" w:customStyle="1" w:styleId="15">
    <w:name w:val="标题 1 Char"/>
    <w:basedOn w:val="13"/>
    <w:link w:val="2"/>
    <w:locked/>
    <w:uiPriority w:val="0"/>
    <w:rPr>
      <w:rFonts w:ascii="Times New Roman" w:hAnsi="Times New Roman" w:eastAsia="宋体" w:cs="Times New Roman"/>
      <w:b/>
      <w:kern w:val="44"/>
      <w:sz w:val="44"/>
      <w:szCs w:val="20"/>
    </w:rPr>
  </w:style>
  <w:style w:type="character" w:customStyle="1" w:styleId="16">
    <w:name w:val="标题 2 Char"/>
    <w:basedOn w:val="13"/>
    <w:link w:val="3"/>
    <w:semiHidden/>
    <w:locked/>
    <w:uiPriority w:val="0"/>
    <w:rPr>
      <w:rFonts w:ascii="Arial" w:hAnsi="Arial" w:eastAsia="黑体" w:cs="Times New Roman"/>
      <w:b/>
      <w:sz w:val="32"/>
      <w:szCs w:val="20"/>
    </w:rPr>
  </w:style>
  <w:style w:type="character" w:customStyle="1" w:styleId="17">
    <w:name w:val="批注文字 Char"/>
    <w:link w:val="4"/>
    <w:semiHidden/>
    <w:locked/>
    <w:uiPriority w:val="0"/>
    <w:rPr>
      <w:rFonts w:hint="eastAsia" w:ascii="宋体" w:hAnsi="宋体" w:eastAsia="宋体"/>
    </w:rPr>
  </w:style>
  <w:style w:type="character" w:customStyle="1" w:styleId="18">
    <w:name w:val="页眉 Char"/>
    <w:basedOn w:val="13"/>
    <w:link w:val="9"/>
    <w:locked/>
    <w:uiPriority w:val="99"/>
    <w:rPr>
      <w:sz w:val="18"/>
      <w:szCs w:val="18"/>
    </w:rPr>
  </w:style>
  <w:style w:type="character" w:customStyle="1" w:styleId="19">
    <w:name w:val="页脚 Char"/>
    <w:basedOn w:val="13"/>
    <w:link w:val="8"/>
    <w:locked/>
    <w:uiPriority w:val="99"/>
    <w:rPr>
      <w:sz w:val="18"/>
      <w:szCs w:val="18"/>
    </w:rPr>
  </w:style>
  <w:style w:type="character" w:customStyle="1" w:styleId="20">
    <w:name w:val="正文文本 Char"/>
    <w:basedOn w:val="13"/>
    <w:link w:val="5"/>
    <w:semiHidden/>
    <w:locked/>
    <w:uiPriority w:val="1"/>
    <w:rPr>
      <w:rFonts w:hint="eastAsia" w:ascii="宋体" w:hAnsi="宋体" w:eastAsia="宋体"/>
      <w:sz w:val="18"/>
      <w:szCs w:val="18"/>
      <w:lang w:eastAsia="en-US"/>
    </w:rPr>
  </w:style>
  <w:style w:type="character" w:customStyle="1" w:styleId="21">
    <w:name w:val="批注主题 Char"/>
    <w:basedOn w:val="17"/>
    <w:link w:val="10"/>
    <w:semiHidden/>
    <w:locked/>
    <w:uiPriority w:val="99"/>
    <w:rPr>
      <w:rFonts w:ascii="Times New Roman" w:hAnsi="Times New Roman" w:eastAsia="宋体" w:cs="Times New Roman"/>
      <w:b/>
      <w:bCs/>
      <w:kern w:val="2"/>
      <w:sz w:val="21"/>
    </w:rPr>
  </w:style>
  <w:style w:type="character" w:customStyle="1" w:styleId="22">
    <w:name w:val="批注框文本 Char"/>
    <w:basedOn w:val="13"/>
    <w:link w:val="7"/>
    <w:semiHidden/>
    <w:locked/>
    <w:uiPriority w:val="99"/>
    <w:rPr>
      <w:rFonts w:ascii="Times New Roman" w:hAnsi="Times New Roman" w:eastAsia="宋体" w:cs="Times New Roman"/>
      <w:sz w:val="18"/>
      <w:szCs w:val="18"/>
    </w:rPr>
  </w:style>
  <w:style w:type="character" w:customStyle="1" w:styleId="23">
    <w:name w:val="批注文字 Char1"/>
    <w:basedOn w:val="13"/>
    <w:semiHidden/>
    <w:uiPriority w:val="99"/>
    <w:rPr>
      <w:rFonts w:ascii="Times New Roman" w:hAnsi="Times New Roman" w:eastAsia="宋体" w:cs="Times New Roman"/>
      <w:szCs w:val="20"/>
    </w:rPr>
  </w:style>
  <w:style w:type="character" w:customStyle="1" w:styleId="24">
    <w:name w:val="日期 Char"/>
    <w:basedOn w:val="13"/>
    <w:link w:val="6"/>
    <w:semiHidden/>
    <w:uiPriority w:val="99"/>
    <w:rPr>
      <w:rFonts w:ascii="Times New Roman" w:hAnsi="Times New Roman" w:eastAsia="宋体" w:cs="Times New Roman"/>
      <w:kern w:val="2"/>
      <w:sz w:val="21"/>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chart" Target="charts/chart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1" Type="http://schemas.openxmlformats.org/officeDocument/2006/relationships/oleObject" Target="file:///C:\Users\nn710428\Desktop\&#23450;&#26399;&#25253;&#21578;\&#36229;&#20540;&#23453;&#22686;&#38271;&#29575;&#22270;&#34920;%20&#26368;&#26032;.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0876330436210855"/>
          <c:y val="0.0665256681407422"/>
          <c:w val="0.840394704716905"/>
          <c:h val="0.686252648826848"/>
        </c:manualLayout>
      </c:layout>
      <c:lineChart>
        <c:grouping val="standard"/>
        <c:varyColors val="0"/>
        <c:ser>
          <c:idx val="0"/>
          <c:order val="0"/>
          <c:tx>
            <c:strRef>
              <c:f>'[超值宝增长率图表 最新.xlsx]图表区'!$B$1</c:f>
              <c:strCache>
                <c:ptCount val="1"/>
                <c:pt idx="0">
                  <c:v>净值增长率</c:v>
                </c:pt>
              </c:strCache>
            </c:strRef>
          </c:tx>
          <c:spPr>
            <a:ln w="28575" cap="rnd" cmpd="sng" algn="ctr">
              <a:solidFill>
                <a:schemeClr val="accent1"/>
              </a:solidFill>
              <a:prstDash val="solid"/>
              <a:round/>
            </a:ln>
            <a:effectLst/>
          </c:spPr>
          <c:marker>
            <c:symbol val="none"/>
          </c:marker>
          <c:dLbls>
            <c:delete val="1"/>
          </c:dLbls>
          <c:cat>
            <c:numRef>
              <c:f>'[超值宝增长率图表 最新.xlsx]图表区'!$A$2:$A$715</c:f>
              <c:numCache>
                <c:formatCode>yyyy/m/d</c:formatCode>
                <c:ptCount val="714"/>
                <c:pt idx="0" c:formatCode="yyyy/m/d">
                  <c:v>44132</c:v>
                </c:pt>
                <c:pt idx="1" c:formatCode="yyyy/m/d">
                  <c:v>44133</c:v>
                </c:pt>
                <c:pt idx="2" c:formatCode="yyyy/m/d">
                  <c:v>44134</c:v>
                </c:pt>
                <c:pt idx="3" c:formatCode="yyyy/m/d">
                  <c:v>44135</c:v>
                </c:pt>
                <c:pt idx="4" c:formatCode="yyyy/m/d">
                  <c:v>44136</c:v>
                </c:pt>
                <c:pt idx="5" c:formatCode="yyyy/m/d">
                  <c:v>44137</c:v>
                </c:pt>
                <c:pt idx="6" c:formatCode="yyyy/m/d">
                  <c:v>44138</c:v>
                </c:pt>
                <c:pt idx="7" c:formatCode="yyyy/m/d">
                  <c:v>44139</c:v>
                </c:pt>
                <c:pt idx="8" c:formatCode="yyyy/m/d">
                  <c:v>44140</c:v>
                </c:pt>
                <c:pt idx="9" c:formatCode="yyyy/m/d">
                  <c:v>44141</c:v>
                </c:pt>
                <c:pt idx="10" c:formatCode="yyyy/m/d">
                  <c:v>44142</c:v>
                </c:pt>
                <c:pt idx="11" c:formatCode="yyyy/m/d">
                  <c:v>44143</c:v>
                </c:pt>
                <c:pt idx="12" c:formatCode="yyyy/m/d">
                  <c:v>44144</c:v>
                </c:pt>
                <c:pt idx="13" c:formatCode="yyyy/m/d">
                  <c:v>44145</c:v>
                </c:pt>
                <c:pt idx="14" c:formatCode="yyyy/m/d">
                  <c:v>44146</c:v>
                </c:pt>
                <c:pt idx="15" c:formatCode="yyyy/m/d">
                  <c:v>44147</c:v>
                </c:pt>
                <c:pt idx="16" c:formatCode="yyyy/m/d">
                  <c:v>44148</c:v>
                </c:pt>
                <c:pt idx="17" c:formatCode="yyyy/m/d">
                  <c:v>44149</c:v>
                </c:pt>
                <c:pt idx="18" c:formatCode="yyyy/m/d">
                  <c:v>44150</c:v>
                </c:pt>
                <c:pt idx="19" c:formatCode="yyyy/m/d">
                  <c:v>44151</c:v>
                </c:pt>
                <c:pt idx="20" c:formatCode="yyyy/m/d">
                  <c:v>44152</c:v>
                </c:pt>
                <c:pt idx="21" c:formatCode="yyyy/m/d">
                  <c:v>44153</c:v>
                </c:pt>
                <c:pt idx="22" c:formatCode="yyyy/m/d">
                  <c:v>44154</c:v>
                </c:pt>
                <c:pt idx="23" c:formatCode="yyyy/m/d">
                  <c:v>44155</c:v>
                </c:pt>
                <c:pt idx="24" c:formatCode="yyyy/m/d">
                  <c:v>44156</c:v>
                </c:pt>
                <c:pt idx="25" c:formatCode="yyyy/m/d">
                  <c:v>44157</c:v>
                </c:pt>
                <c:pt idx="26" c:formatCode="yyyy/m/d">
                  <c:v>44158</c:v>
                </c:pt>
                <c:pt idx="27" c:formatCode="yyyy/m/d">
                  <c:v>44159</c:v>
                </c:pt>
                <c:pt idx="28" c:formatCode="yyyy/m/d">
                  <c:v>44160</c:v>
                </c:pt>
                <c:pt idx="29" c:formatCode="yyyy/m/d">
                  <c:v>44161</c:v>
                </c:pt>
                <c:pt idx="30" c:formatCode="yyyy/m/d">
                  <c:v>44162</c:v>
                </c:pt>
                <c:pt idx="31" c:formatCode="yyyy/m/d">
                  <c:v>44163</c:v>
                </c:pt>
                <c:pt idx="32" c:formatCode="yyyy/m/d">
                  <c:v>44164</c:v>
                </c:pt>
                <c:pt idx="33" c:formatCode="yyyy/m/d">
                  <c:v>44165</c:v>
                </c:pt>
                <c:pt idx="34" c:formatCode="yyyy/m/d">
                  <c:v>44166</c:v>
                </c:pt>
                <c:pt idx="35" c:formatCode="yyyy/m/d">
                  <c:v>44167</c:v>
                </c:pt>
                <c:pt idx="36" c:formatCode="yyyy/m/d">
                  <c:v>44168</c:v>
                </c:pt>
                <c:pt idx="37" c:formatCode="yyyy/m/d">
                  <c:v>44169</c:v>
                </c:pt>
                <c:pt idx="38" c:formatCode="yyyy/m/d">
                  <c:v>44170</c:v>
                </c:pt>
                <c:pt idx="39" c:formatCode="yyyy/m/d">
                  <c:v>44171</c:v>
                </c:pt>
                <c:pt idx="40" c:formatCode="yyyy/m/d">
                  <c:v>44172</c:v>
                </c:pt>
                <c:pt idx="41" c:formatCode="yyyy/m/d">
                  <c:v>44173</c:v>
                </c:pt>
                <c:pt idx="42" c:formatCode="yyyy/m/d">
                  <c:v>44174</c:v>
                </c:pt>
                <c:pt idx="43" c:formatCode="yyyy/m/d">
                  <c:v>44175</c:v>
                </c:pt>
                <c:pt idx="44" c:formatCode="yyyy/m/d">
                  <c:v>44176</c:v>
                </c:pt>
                <c:pt idx="45" c:formatCode="yyyy/m/d">
                  <c:v>44177</c:v>
                </c:pt>
                <c:pt idx="46" c:formatCode="yyyy/m/d">
                  <c:v>44178</c:v>
                </c:pt>
                <c:pt idx="47" c:formatCode="yyyy/m/d">
                  <c:v>44179</c:v>
                </c:pt>
                <c:pt idx="48" c:formatCode="yyyy/m/d">
                  <c:v>44180</c:v>
                </c:pt>
                <c:pt idx="49" c:formatCode="yyyy/m/d">
                  <c:v>44181</c:v>
                </c:pt>
                <c:pt idx="50" c:formatCode="yyyy/m/d">
                  <c:v>44182</c:v>
                </c:pt>
                <c:pt idx="51" c:formatCode="yyyy/m/d">
                  <c:v>44183</c:v>
                </c:pt>
                <c:pt idx="52" c:formatCode="yyyy/m/d">
                  <c:v>44184</c:v>
                </c:pt>
                <c:pt idx="53" c:formatCode="yyyy/m/d">
                  <c:v>44185</c:v>
                </c:pt>
                <c:pt idx="54" c:formatCode="yyyy/m/d">
                  <c:v>44186</c:v>
                </c:pt>
                <c:pt idx="55" c:formatCode="yyyy/m/d">
                  <c:v>44187</c:v>
                </c:pt>
                <c:pt idx="56" c:formatCode="yyyy/m/d">
                  <c:v>44188</c:v>
                </c:pt>
                <c:pt idx="57" c:formatCode="yyyy/m/d">
                  <c:v>44189</c:v>
                </c:pt>
                <c:pt idx="58" c:formatCode="yyyy/m/d">
                  <c:v>44190</c:v>
                </c:pt>
                <c:pt idx="59" c:formatCode="yyyy/m/d">
                  <c:v>44191</c:v>
                </c:pt>
                <c:pt idx="60" c:formatCode="yyyy/m/d">
                  <c:v>44192</c:v>
                </c:pt>
                <c:pt idx="61" c:formatCode="yyyy/m/d">
                  <c:v>44193</c:v>
                </c:pt>
                <c:pt idx="62" c:formatCode="yyyy/m/d">
                  <c:v>44194</c:v>
                </c:pt>
                <c:pt idx="63" c:formatCode="yyyy/m/d">
                  <c:v>44195</c:v>
                </c:pt>
                <c:pt idx="64" c:formatCode="yyyy/m/d">
                  <c:v>44196</c:v>
                </c:pt>
                <c:pt idx="65" c:formatCode="yyyy/m/d">
                  <c:v>44197</c:v>
                </c:pt>
                <c:pt idx="66" c:formatCode="yyyy/m/d">
                  <c:v>44198</c:v>
                </c:pt>
                <c:pt idx="67" c:formatCode="yyyy/m/d">
                  <c:v>44199</c:v>
                </c:pt>
                <c:pt idx="68" c:formatCode="yyyy/m/d">
                  <c:v>44200</c:v>
                </c:pt>
                <c:pt idx="69" c:formatCode="yyyy/m/d">
                  <c:v>44201</c:v>
                </c:pt>
                <c:pt idx="70" c:formatCode="yyyy/m/d">
                  <c:v>44202</c:v>
                </c:pt>
                <c:pt idx="71" c:formatCode="yyyy/m/d">
                  <c:v>44203</c:v>
                </c:pt>
                <c:pt idx="72" c:formatCode="yyyy/m/d">
                  <c:v>44204</c:v>
                </c:pt>
                <c:pt idx="73" c:formatCode="yyyy/m/d">
                  <c:v>44205</c:v>
                </c:pt>
                <c:pt idx="74" c:formatCode="yyyy/m/d">
                  <c:v>44206</c:v>
                </c:pt>
                <c:pt idx="75" c:formatCode="yyyy/m/d">
                  <c:v>44207</c:v>
                </c:pt>
                <c:pt idx="76" c:formatCode="yyyy/m/d">
                  <c:v>44208</c:v>
                </c:pt>
                <c:pt idx="77" c:formatCode="yyyy/m/d">
                  <c:v>44209</c:v>
                </c:pt>
                <c:pt idx="78" c:formatCode="yyyy/m/d">
                  <c:v>44210</c:v>
                </c:pt>
                <c:pt idx="79" c:formatCode="yyyy/m/d">
                  <c:v>44211</c:v>
                </c:pt>
                <c:pt idx="80" c:formatCode="yyyy/m/d">
                  <c:v>44212</c:v>
                </c:pt>
                <c:pt idx="81" c:formatCode="yyyy/m/d">
                  <c:v>44213</c:v>
                </c:pt>
                <c:pt idx="82" c:formatCode="yyyy/m/d">
                  <c:v>44214</c:v>
                </c:pt>
                <c:pt idx="83" c:formatCode="yyyy/m/d">
                  <c:v>44215</c:v>
                </c:pt>
                <c:pt idx="84" c:formatCode="yyyy/m/d">
                  <c:v>44216</c:v>
                </c:pt>
                <c:pt idx="85" c:formatCode="yyyy/m/d">
                  <c:v>44217</c:v>
                </c:pt>
                <c:pt idx="86" c:formatCode="yyyy/m/d">
                  <c:v>44218</c:v>
                </c:pt>
                <c:pt idx="87" c:formatCode="yyyy/m/d">
                  <c:v>44219</c:v>
                </c:pt>
                <c:pt idx="88" c:formatCode="yyyy/m/d">
                  <c:v>44220</c:v>
                </c:pt>
                <c:pt idx="89" c:formatCode="yyyy/m/d">
                  <c:v>44221</c:v>
                </c:pt>
                <c:pt idx="90" c:formatCode="yyyy/m/d">
                  <c:v>44222</c:v>
                </c:pt>
                <c:pt idx="91" c:formatCode="yyyy/m/d">
                  <c:v>44223</c:v>
                </c:pt>
                <c:pt idx="92" c:formatCode="yyyy/m/d">
                  <c:v>44224</c:v>
                </c:pt>
                <c:pt idx="93" c:formatCode="yyyy/m/d">
                  <c:v>44225</c:v>
                </c:pt>
                <c:pt idx="94" c:formatCode="yyyy/m/d">
                  <c:v>44226</c:v>
                </c:pt>
                <c:pt idx="95" c:formatCode="yyyy/m/d">
                  <c:v>44227</c:v>
                </c:pt>
                <c:pt idx="96" c:formatCode="yyyy/m/d">
                  <c:v>44228</c:v>
                </c:pt>
                <c:pt idx="97" c:formatCode="yyyy/m/d">
                  <c:v>44229</c:v>
                </c:pt>
                <c:pt idx="98" c:formatCode="yyyy/m/d">
                  <c:v>44230</c:v>
                </c:pt>
                <c:pt idx="99" c:formatCode="yyyy/m/d">
                  <c:v>44231</c:v>
                </c:pt>
                <c:pt idx="100" c:formatCode="yyyy/m/d">
                  <c:v>44232</c:v>
                </c:pt>
                <c:pt idx="101" c:formatCode="yyyy/m/d">
                  <c:v>44233</c:v>
                </c:pt>
                <c:pt idx="102" c:formatCode="yyyy/m/d">
                  <c:v>44234</c:v>
                </c:pt>
                <c:pt idx="103" c:formatCode="yyyy/m/d">
                  <c:v>44235</c:v>
                </c:pt>
                <c:pt idx="104" c:formatCode="yyyy/m/d">
                  <c:v>44236</c:v>
                </c:pt>
                <c:pt idx="105" c:formatCode="yyyy/m/d">
                  <c:v>44237</c:v>
                </c:pt>
                <c:pt idx="106" c:formatCode="yyyy/m/d">
                  <c:v>44238</c:v>
                </c:pt>
                <c:pt idx="107" c:formatCode="yyyy/m/d">
                  <c:v>44239</c:v>
                </c:pt>
                <c:pt idx="108" c:formatCode="yyyy/m/d">
                  <c:v>44240</c:v>
                </c:pt>
                <c:pt idx="109" c:formatCode="yyyy/m/d">
                  <c:v>44241</c:v>
                </c:pt>
                <c:pt idx="110" c:formatCode="yyyy/m/d">
                  <c:v>44242</c:v>
                </c:pt>
                <c:pt idx="111" c:formatCode="yyyy/m/d">
                  <c:v>44243</c:v>
                </c:pt>
                <c:pt idx="112" c:formatCode="yyyy/m/d">
                  <c:v>44244</c:v>
                </c:pt>
                <c:pt idx="113" c:formatCode="yyyy/m/d">
                  <c:v>44245</c:v>
                </c:pt>
                <c:pt idx="114" c:formatCode="yyyy/m/d">
                  <c:v>44246</c:v>
                </c:pt>
                <c:pt idx="115" c:formatCode="yyyy/m/d">
                  <c:v>44247</c:v>
                </c:pt>
                <c:pt idx="116" c:formatCode="yyyy/m/d">
                  <c:v>44248</c:v>
                </c:pt>
                <c:pt idx="117" c:formatCode="yyyy/m/d">
                  <c:v>44249</c:v>
                </c:pt>
                <c:pt idx="118" c:formatCode="yyyy/m/d">
                  <c:v>44250</c:v>
                </c:pt>
                <c:pt idx="119" c:formatCode="yyyy/m/d">
                  <c:v>44251</c:v>
                </c:pt>
                <c:pt idx="120" c:formatCode="yyyy/m/d">
                  <c:v>44252</c:v>
                </c:pt>
                <c:pt idx="121" c:formatCode="yyyy/m/d">
                  <c:v>44253</c:v>
                </c:pt>
                <c:pt idx="122" c:formatCode="yyyy/m/d">
                  <c:v>44254</c:v>
                </c:pt>
                <c:pt idx="123" c:formatCode="yyyy/m/d">
                  <c:v>44255</c:v>
                </c:pt>
                <c:pt idx="124" c:formatCode="yyyy/m/d">
                  <c:v>44256</c:v>
                </c:pt>
                <c:pt idx="125" c:formatCode="yyyy/m/d">
                  <c:v>44257</c:v>
                </c:pt>
                <c:pt idx="126" c:formatCode="yyyy/m/d">
                  <c:v>44258</c:v>
                </c:pt>
                <c:pt idx="127" c:formatCode="yyyy/m/d">
                  <c:v>44259</c:v>
                </c:pt>
                <c:pt idx="128" c:formatCode="yyyy/m/d">
                  <c:v>44260</c:v>
                </c:pt>
                <c:pt idx="129" c:formatCode="yyyy/m/d">
                  <c:v>44261</c:v>
                </c:pt>
                <c:pt idx="130" c:formatCode="yyyy/m/d">
                  <c:v>44262</c:v>
                </c:pt>
                <c:pt idx="131" c:formatCode="yyyy/m/d">
                  <c:v>44263</c:v>
                </c:pt>
                <c:pt idx="132" c:formatCode="yyyy/m/d">
                  <c:v>44264</c:v>
                </c:pt>
                <c:pt idx="133" c:formatCode="yyyy/m/d">
                  <c:v>44265</c:v>
                </c:pt>
                <c:pt idx="134" c:formatCode="yyyy/m/d">
                  <c:v>44266</c:v>
                </c:pt>
                <c:pt idx="135" c:formatCode="yyyy/m/d">
                  <c:v>44267</c:v>
                </c:pt>
                <c:pt idx="136" c:formatCode="yyyy/m/d">
                  <c:v>44268</c:v>
                </c:pt>
                <c:pt idx="137" c:formatCode="yyyy/m/d">
                  <c:v>44269</c:v>
                </c:pt>
                <c:pt idx="138" c:formatCode="yyyy/m/d">
                  <c:v>44270</c:v>
                </c:pt>
                <c:pt idx="139" c:formatCode="yyyy/m/d">
                  <c:v>44271</c:v>
                </c:pt>
                <c:pt idx="140" c:formatCode="yyyy/m/d">
                  <c:v>44272</c:v>
                </c:pt>
                <c:pt idx="141" c:formatCode="yyyy/m/d">
                  <c:v>44273</c:v>
                </c:pt>
                <c:pt idx="142" c:formatCode="yyyy/m/d">
                  <c:v>44274</c:v>
                </c:pt>
                <c:pt idx="143" c:formatCode="yyyy/m/d">
                  <c:v>44275</c:v>
                </c:pt>
                <c:pt idx="144" c:formatCode="yyyy/m/d">
                  <c:v>44276</c:v>
                </c:pt>
                <c:pt idx="145" c:formatCode="yyyy/m/d">
                  <c:v>44277</c:v>
                </c:pt>
                <c:pt idx="146" c:formatCode="yyyy/m/d">
                  <c:v>44278</c:v>
                </c:pt>
                <c:pt idx="147" c:formatCode="yyyy/m/d">
                  <c:v>44279</c:v>
                </c:pt>
                <c:pt idx="148" c:formatCode="yyyy/m/d">
                  <c:v>44280</c:v>
                </c:pt>
                <c:pt idx="149" c:formatCode="yyyy/m/d">
                  <c:v>44281</c:v>
                </c:pt>
                <c:pt idx="150" c:formatCode="yyyy/m/d">
                  <c:v>44282</c:v>
                </c:pt>
                <c:pt idx="151" c:formatCode="yyyy/m/d">
                  <c:v>44283</c:v>
                </c:pt>
                <c:pt idx="152" c:formatCode="yyyy/m/d">
                  <c:v>44284</c:v>
                </c:pt>
                <c:pt idx="153" c:formatCode="yyyy/m/d">
                  <c:v>44285</c:v>
                </c:pt>
                <c:pt idx="154" c:formatCode="yyyy/m/d">
                  <c:v>44286</c:v>
                </c:pt>
                <c:pt idx="155" c:formatCode="yyyy/m/d">
                  <c:v>44287</c:v>
                </c:pt>
                <c:pt idx="156" c:formatCode="yyyy/m/d">
                  <c:v>44288</c:v>
                </c:pt>
                <c:pt idx="157" c:formatCode="yyyy/m/d">
                  <c:v>44289</c:v>
                </c:pt>
                <c:pt idx="158" c:formatCode="yyyy/m/d">
                  <c:v>44290</c:v>
                </c:pt>
                <c:pt idx="159" c:formatCode="yyyy/m/d">
                  <c:v>44291</c:v>
                </c:pt>
                <c:pt idx="160" c:formatCode="yyyy/m/d">
                  <c:v>44292</c:v>
                </c:pt>
                <c:pt idx="161" c:formatCode="yyyy/m/d">
                  <c:v>44293</c:v>
                </c:pt>
                <c:pt idx="162" c:formatCode="yyyy/m/d">
                  <c:v>44294</c:v>
                </c:pt>
                <c:pt idx="163" c:formatCode="yyyy/m/d">
                  <c:v>44295</c:v>
                </c:pt>
                <c:pt idx="164" c:formatCode="yyyy/m/d">
                  <c:v>44296</c:v>
                </c:pt>
                <c:pt idx="165" c:formatCode="yyyy/m/d">
                  <c:v>44297</c:v>
                </c:pt>
                <c:pt idx="166" c:formatCode="yyyy/m/d">
                  <c:v>44298</c:v>
                </c:pt>
                <c:pt idx="167" c:formatCode="yyyy/m/d">
                  <c:v>44299</c:v>
                </c:pt>
                <c:pt idx="168" c:formatCode="yyyy/m/d">
                  <c:v>44300</c:v>
                </c:pt>
                <c:pt idx="169" c:formatCode="yyyy/m/d">
                  <c:v>44301</c:v>
                </c:pt>
                <c:pt idx="170" c:formatCode="yyyy/m/d">
                  <c:v>44302</c:v>
                </c:pt>
                <c:pt idx="171" c:formatCode="yyyy/m/d">
                  <c:v>44303</c:v>
                </c:pt>
                <c:pt idx="172" c:formatCode="yyyy/m/d">
                  <c:v>44304</c:v>
                </c:pt>
                <c:pt idx="173" c:formatCode="yyyy/m/d">
                  <c:v>44305</c:v>
                </c:pt>
                <c:pt idx="174" c:formatCode="yyyy/m/d">
                  <c:v>44306</c:v>
                </c:pt>
                <c:pt idx="175" c:formatCode="yyyy/m/d">
                  <c:v>44307</c:v>
                </c:pt>
                <c:pt idx="176" c:formatCode="yyyy/m/d">
                  <c:v>44308</c:v>
                </c:pt>
                <c:pt idx="177" c:formatCode="yyyy/m/d">
                  <c:v>44309</c:v>
                </c:pt>
                <c:pt idx="178" c:formatCode="yyyy/m/d">
                  <c:v>44310</c:v>
                </c:pt>
                <c:pt idx="179" c:formatCode="yyyy/m/d">
                  <c:v>44311</c:v>
                </c:pt>
                <c:pt idx="180" c:formatCode="yyyy/m/d">
                  <c:v>44312</c:v>
                </c:pt>
                <c:pt idx="181" c:formatCode="yyyy/m/d">
                  <c:v>44313</c:v>
                </c:pt>
                <c:pt idx="182" c:formatCode="yyyy/m/d">
                  <c:v>44314</c:v>
                </c:pt>
                <c:pt idx="183" c:formatCode="yyyy/m/d">
                  <c:v>44315</c:v>
                </c:pt>
                <c:pt idx="184" c:formatCode="yyyy/m/d">
                  <c:v>44316</c:v>
                </c:pt>
                <c:pt idx="185" c:formatCode="yyyy/m/d">
                  <c:v>44317</c:v>
                </c:pt>
                <c:pt idx="186" c:formatCode="yyyy/m/d">
                  <c:v>44318</c:v>
                </c:pt>
                <c:pt idx="187" c:formatCode="yyyy/m/d">
                  <c:v>44319</c:v>
                </c:pt>
                <c:pt idx="188" c:formatCode="yyyy/m/d">
                  <c:v>44320</c:v>
                </c:pt>
                <c:pt idx="189" c:formatCode="yyyy/m/d">
                  <c:v>44321</c:v>
                </c:pt>
                <c:pt idx="190" c:formatCode="yyyy/m/d">
                  <c:v>44322</c:v>
                </c:pt>
                <c:pt idx="191" c:formatCode="yyyy/m/d">
                  <c:v>44323</c:v>
                </c:pt>
                <c:pt idx="192" c:formatCode="yyyy/m/d">
                  <c:v>44324</c:v>
                </c:pt>
                <c:pt idx="193" c:formatCode="yyyy/m/d">
                  <c:v>44325</c:v>
                </c:pt>
                <c:pt idx="194" c:formatCode="yyyy/m/d">
                  <c:v>44326</c:v>
                </c:pt>
                <c:pt idx="195" c:formatCode="yyyy/m/d">
                  <c:v>44327</c:v>
                </c:pt>
                <c:pt idx="196" c:formatCode="yyyy/m/d">
                  <c:v>44328</c:v>
                </c:pt>
                <c:pt idx="197" c:formatCode="yyyy/m/d">
                  <c:v>44329</c:v>
                </c:pt>
                <c:pt idx="198" c:formatCode="yyyy/m/d">
                  <c:v>44330</c:v>
                </c:pt>
                <c:pt idx="199" c:formatCode="yyyy/m/d">
                  <c:v>44331</c:v>
                </c:pt>
                <c:pt idx="200" c:formatCode="yyyy/m/d">
                  <c:v>44332</c:v>
                </c:pt>
                <c:pt idx="201" c:formatCode="yyyy/m/d">
                  <c:v>44333</c:v>
                </c:pt>
                <c:pt idx="202" c:formatCode="yyyy/m/d">
                  <c:v>44334</c:v>
                </c:pt>
                <c:pt idx="203" c:formatCode="yyyy/m/d">
                  <c:v>44335</c:v>
                </c:pt>
                <c:pt idx="204" c:formatCode="yyyy/m/d">
                  <c:v>44336</c:v>
                </c:pt>
                <c:pt idx="205" c:formatCode="yyyy/m/d">
                  <c:v>44337</c:v>
                </c:pt>
                <c:pt idx="206" c:formatCode="yyyy/m/d">
                  <c:v>44338</c:v>
                </c:pt>
                <c:pt idx="207" c:formatCode="yyyy/m/d">
                  <c:v>44339</c:v>
                </c:pt>
                <c:pt idx="208" c:formatCode="yyyy/m/d">
                  <c:v>44340</c:v>
                </c:pt>
                <c:pt idx="209" c:formatCode="yyyy/m/d">
                  <c:v>44341</c:v>
                </c:pt>
                <c:pt idx="210" c:formatCode="yyyy/m/d">
                  <c:v>44342</c:v>
                </c:pt>
                <c:pt idx="211" c:formatCode="yyyy/m/d">
                  <c:v>44343</c:v>
                </c:pt>
                <c:pt idx="212" c:formatCode="yyyy/m/d">
                  <c:v>44344</c:v>
                </c:pt>
                <c:pt idx="213" c:formatCode="yyyy/m/d">
                  <c:v>44345</c:v>
                </c:pt>
                <c:pt idx="214" c:formatCode="yyyy/m/d">
                  <c:v>44346</c:v>
                </c:pt>
                <c:pt idx="215" c:formatCode="yyyy/m/d">
                  <c:v>44347</c:v>
                </c:pt>
                <c:pt idx="216" c:formatCode="yyyy/m/d">
                  <c:v>44348</c:v>
                </c:pt>
                <c:pt idx="217" c:formatCode="yyyy/m/d">
                  <c:v>44349</c:v>
                </c:pt>
                <c:pt idx="218" c:formatCode="yyyy/m/d">
                  <c:v>44350</c:v>
                </c:pt>
                <c:pt idx="219" c:formatCode="yyyy/m/d">
                  <c:v>44351</c:v>
                </c:pt>
                <c:pt idx="220" c:formatCode="yyyy/m/d">
                  <c:v>44352</c:v>
                </c:pt>
                <c:pt idx="221" c:formatCode="yyyy/m/d">
                  <c:v>44353</c:v>
                </c:pt>
                <c:pt idx="222" c:formatCode="yyyy/m/d">
                  <c:v>44354</c:v>
                </c:pt>
                <c:pt idx="223" c:formatCode="yyyy/m/d">
                  <c:v>44355</c:v>
                </c:pt>
                <c:pt idx="224" c:formatCode="yyyy/m/d">
                  <c:v>44356</c:v>
                </c:pt>
                <c:pt idx="225" c:formatCode="yyyy/m/d">
                  <c:v>44357</c:v>
                </c:pt>
                <c:pt idx="226" c:formatCode="yyyy/m/d">
                  <c:v>44358</c:v>
                </c:pt>
                <c:pt idx="227" c:formatCode="yyyy/m/d">
                  <c:v>44359</c:v>
                </c:pt>
                <c:pt idx="228" c:formatCode="yyyy/m/d">
                  <c:v>44360</c:v>
                </c:pt>
                <c:pt idx="229" c:formatCode="yyyy/m/d">
                  <c:v>44361</c:v>
                </c:pt>
                <c:pt idx="230" c:formatCode="yyyy/m/d">
                  <c:v>44362</c:v>
                </c:pt>
                <c:pt idx="231" c:formatCode="yyyy/m/d">
                  <c:v>44363</c:v>
                </c:pt>
                <c:pt idx="232" c:formatCode="yyyy/m/d">
                  <c:v>44364</c:v>
                </c:pt>
                <c:pt idx="233" c:formatCode="yyyy/m/d">
                  <c:v>44365</c:v>
                </c:pt>
                <c:pt idx="234" c:formatCode="yyyy/m/d">
                  <c:v>44366</c:v>
                </c:pt>
                <c:pt idx="235" c:formatCode="yyyy/m/d">
                  <c:v>44367</c:v>
                </c:pt>
                <c:pt idx="236" c:formatCode="yyyy/m/d">
                  <c:v>44368</c:v>
                </c:pt>
                <c:pt idx="237" c:formatCode="yyyy/m/d">
                  <c:v>44369</c:v>
                </c:pt>
                <c:pt idx="238" c:formatCode="yyyy/m/d">
                  <c:v>44370</c:v>
                </c:pt>
                <c:pt idx="239" c:formatCode="yyyy/m/d">
                  <c:v>44371</c:v>
                </c:pt>
                <c:pt idx="240" c:formatCode="yyyy/m/d">
                  <c:v>44372</c:v>
                </c:pt>
                <c:pt idx="241" c:formatCode="yyyy/m/d">
                  <c:v>44373</c:v>
                </c:pt>
                <c:pt idx="242" c:formatCode="yyyy/m/d">
                  <c:v>44374</c:v>
                </c:pt>
                <c:pt idx="243" c:formatCode="yyyy/m/d">
                  <c:v>44375</c:v>
                </c:pt>
                <c:pt idx="244" c:formatCode="yyyy/m/d">
                  <c:v>44376</c:v>
                </c:pt>
                <c:pt idx="245" c:formatCode="yyyy/m/d">
                  <c:v>44377</c:v>
                </c:pt>
              </c:numCache>
            </c:numRef>
          </c:cat>
          <c:val>
            <c:numRef>
              <c:f>'[超值宝增长率图表 最新.xlsx]图表区'!$B$2:$B$715</c:f>
              <c:numCache>
                <c:formatCode>General</c:formatCode>
                <c:ptCount val="714"/>
                <c:pt idx="0">
                  <c:v>0</c:v>
                </c:pt>
                <c:pt idx="1">
                  <c:v>0</c:v>
                </c:pt>
                <c:pt idx="2">
                  <c:v>0</c:v>
                </c:pt>
                <c:pt idx="3">
                  <c:v>0</c:v>
                </c:pt>
                <c:pt idx="4">
                  <c:v>0</c:v>
                </c:pt>
                <c:pt idx="5">
                  <c:v>0.000199999999999978</c:v>
                </c:pt>
                <c:pt idx="6">
                  <c:v>0.000199999999999978</c:v>
                </c:pt>
                <c:pt idx="7">
                  <c:v>0.0011000000000001</c:v>
                </c:pt>
                <c:pt idx="8" c:formatCode="0.000000_);[Red]\(0.000000\)">
                  <c:v>0.00140000000000007</c:v>
                </c:pt>
                <c:pt idx="9">
                  <c:v>0.00160000000000005</c:v>
                </c:pt>
                <c:pt idx="10">
                  <c:v>0.00160000000000005</c:v>
                </c:pt>
                <c:pt idx="11">
                  <c:v>0.00160000000000005</c:v>
                </c:pt>
                <c:pt idx="12">
                  <c:v>0.00219999999999998</c:v>
                </c:pt>
                <c:pt idx="13">
                  <c:v>0.002</c:v>
                </c:pt>
                <c:pt idx="14">
                  <c:v>0.002</c:v>
                </c:pt>
                <c:pt idx="15">
                  <c:v>0.00170000000000003</c:v>
                </c:pt>
                <c:pt idx="16">
                  <c:v>0.000999999999999893</c:v>
                </c:pt>
                <c:pt idx="17">
                  <c:v>0.000999999999999893</c:v>
                </c:pt>
                <c:pt idx="18">
                  <c:v>0.000999999999999893</c:v>
                </c:pt>
                <c:pt idx="19">
                  <c:v>0.000799999999999914</c:v>
                </c:pt>
                <c:pt idx="20">
                  <c:v>0.000199999999999978</c:v>
                </c:pt>
                <c:pt idx="21">
                  <c:v>-0.000499999999999946</c:v>
                </c:pt>
                <c:pt idx="22">
                  <c:v>-0.00119999999999998</c:v>
                </c:pt>
                <c:pt idx="23">
                  <c:v>-0.00260000000000005</c:v>
                </c:pt>
                <c:pt idx="24">
                  <c:v>-0.00260000000000005</c:v>
                </c:pt>
                <c:pt idx="25">
                  <c:v>-0.00270000000000004</c:v>
                </c:pt>
                <c:pt idx="26">
                  <c:v>-0.00319999999999998</c:v>
                </c:pt>
                <c:pt idx="27">
                  <c:v>-0.00319999999999998</c:v>
                </c:pt>
                <c:pt idx="28">
                  <c:v>-0.003</c:v>
                </c:pt>
                <c:pt idx="29">
                  <c:v>-0.003</c:v>
                </c:pt>
                <c:pt idx="30">
                  <c:v>-0.00290000000000001</c:v>
                </c:pt>
                <c:pt idx="31">
                  <c:v>-0.00290000000000001</c:v>
                </c:pt>
                <c:pt idx="32">
                  <c:v>-0.00290000000000001</c:v>
                </c:pt>
                <c:pt idx="33">
                  <c:v>-0.00239999999999996</c:v>
                </c:pt>
                <c:pt idx="34">
                  <c:v>-0.002</c:v>
                </c:pt>
                <c:pt idx="35">
                  <c:v>-0.00249999999999995</c:v>
                </c:pt>
                <c:pt idx="36">
                  <c:v>-0.002</c:v>
                </c:pt>
                <c:pt idx="37">
                  <c:v>-0.00219999999999998</c:v>
                </c:pt>
                <c:pt idx="38">
                  <c:v>-0.00219999999999998</c:v>
                </c:pt>
                <c:pt idx="39">
                  <c:v>-0.00219999999999998</c:v>
                </c:pt>
                <c:pt idx="40">
                  <c:v>-0.00149999999999995</c:v>
                </c:pt>
                <c:pt idx="41">
                  <c:v>-0.00139999999999996</c:v>
                </c:pt>
                <c:pt idx="42">
                  <c:v>-0.00119999999999998</c:v>
                </c:pt>
                <c:pt idx="43">
                  <c:v>-0.00109999999999999</c:v>
                </c:pt>
                <c:pt idx="44">
                  <c:v>-0.00119999999999998</c:v>
                </c:pt>
                <c:pt idx="45">
                  <c:v>-0.00119999999999998</c:v>
                </c:pt>
                <c:pt idx="46">
                  <c:v>-0.00119999999999998</c:v>
                </c:pt>
                <c:pt idx="47">
                  <c:v>-0.000700000000000035</c:v>
                </c:pt>
                <c:pt idx="48">
                  <c:v>-0.000700000000000035</c:v>
                </c:pt>
                <c:pt idx="49">
                  <c:v>0</c:v>
                </c:pt>
                <c:pt idx="50">
                  <c:v>0.000299999999999967</c:v>
                </c:pt>
                <c:pt idx="51">
                  <c:v>0.000499999999999946</c:v>
                </c:pt>
                <c:pt idx="52">
                  <c:v>0.000399999999999956</c:v>
                </c:pt>
                <c:pt idx="53">
                  <c:v>0.000399999999999956</c:v>
                </c:pt>
                <c:pt idx="54">
                  <c:v>0.00120000000000009</c:v>
                </c:pt>
                <c:pt idx="55">
                  <c:v>0.00160000000000005</c:v>
                </c:pt>
                <c:pt idx="56">
                  <c:v>0.00160000000000005</c:v>
                </c:pt>
                <c:pt idx="57">
                  <c:v>0.00180000000000002</c:v>
                </c:pt>
                <c:pt idx="58">
                  <c:v>0.00160000000000005</c:v>
                </c:pt>
                <c:pt idx="59">
                  <c:v>0.00160000000000005</c:v>
                </c:pt>
                <c:pt idx="60">
                  <c:v>0.00160000000000005</c:v>
                </c:pt>
                <c:pt idx="61">
                  <c:v>0.00209999999999999</c:v>
                </c:pt>
                <c:pt idx="62">
                  <c:v>0.00209999999999999</c:v>
                </c:pt>
                <c:pt idx="63">
                  <c:v>0.00239999999999996</c:v>
                </c:pt>
                <c:pt idx="64">
                  <c:v>0.00269999999999992</c:v>
                </c:pt>
                <c:pt idx="65">
                  <c:v>0.00269999999999992</c:v>
                </c:pt>
                <c:pt idx="66">
                  <c:v>0.00269999999999992</c:v>
                </c:pt>
                <c:pt idx="67">
                  <c:v>0.00269999999999992</c:v>
                </c:pt>
                <c:pt idx="68">
                  <c:v>0.00350000000000006</c:v>
                </c:pt>
                <c:pt idx="69">
                  <c:v>0.00370000000000005</c:v>
                </c:pt>
                <c:pt idx="70">
                  <c:v>0.00390000000000002</c:v>
                </c:pt>
                <c:pt idx="71">
                  <c:v>0.00429999999999998</c:v>
                </c:pt>
                <c:pt idx="72">
                  <c:v>0.00459999999999995</c:v>
                </c:pt>
                <c:pt idx="73">
                  <c:v>0.00459999999999995</c:v>
                </c:pt>
                <c:pt idx="74">
                  <c:v>0.00459999999999995</c:v>
                </c:pt>
                <c:pt idx="75">
                  <c:v>0.00550000000000007</c:v>
                </c:pt>
                <c:pt idx="76">
                  <c:v>0.00550000000000007</c:v>
                </c:pt>
                <c:pt idx="77">
                  <c:v>0.00590000000000003</c:v>
                </c:pt>
                <c:pt idx="78">
                  <c:v>0.00619999999999998</c:v>
                </c:pt>
                <c:pt idx="79">
                  <c:v>0.00639999999999997</c:v>
                </c:pt>
                <c:pt idx="80">
                  <c:v>0.00639999999999997</c:v>
                </c:pt>
                <c:pt idx="81">
                  <c:v>0.00639999999999997</c:v>
                </c:pt>
                <c:pt idx="82">
                  <c:v>0.00679999999999993</c:v>
                </c:pt>
                <c:pt idx="83">
                  <c:v>0.00669999999999993</c:v>
                </c:pt>
                <c:pt idx="84">
                  <c:v>0.00619999999999998</c:v>
                </c:pt>
                <c:pt idx="85">
                  <c:v>0.00659999999999995</c:v>
                </c:pt>
                <c:pt idx="86">
                  <c:v>0.00659999999999995</c:v>
                </c:pt>
                <c:pt idx="87">
                  <c:v>0.00659999999999995</c:v>
                </c:pt>
                <c:pt idx="88">
                  <c:v>0.00659999999999995</c:v>
                </c:pt>
                <c:pt idx="89">
                  <c:v>0.00629999999999998</c:v>
                </c:pt>
                <c:pt idx="90">
                  <c:v>0.00649999999999996</c:v>
                </c:pt>
                <c:pt idx="91">
                  <c:v>0.00600000000000001</c:v>
                </c:pt>
                <c:pt idx="92">
                  <c:v>0.00570000000000005</c:v>
                </c:pt>
                <c:pt idx="93">
                  <c:v>0.00520000000000009</c:v>
                </c:pt>
                <c:pt idx="94">
                  <c:v>0.00520000000000009</c:v>
                </c:pt>
                <c:pt idx="95">
                  <c:v>0.00560000000000005</c:v>
                </c:pt>
                <c:pt idx="96">
                  <c:v>0.00570000000000005</c:v>
                </c:pt>
                <c:pt idx="97">
                  <c:v>0.00619999999999998</c:v>
                </c:pt>
                <c:pt idx="98">
                  <c:v>0.00679999999999993</c:v>
                </c:pt>
                <c:pt idx="99">
                  <c:v>0.00669999999999993</c:v>
                </c:pt>
                <c:pt idx="100">
                  <c:v>0.00649999999999996</c:v>
                </c:pt>
                <c:pt idx="101">
                  <c:v>0.00649999999999996</c:v>
                </c:pt>
                <c:pt idx="102">
                  <c:v>0.00649999999999996</c:v>
                </c:pt>
                <c:pt idx="103">
                  <c:v>0.00679999999999993</c:v>
                </c:pt>
                <c:pt idx="104">
                  <c:v>0.00679999999999993</c:v>
                </c:pt>
                <c:pt idx="105">
                  <c:v>0.00669999999999993</c:v>
                </c:pt>
                <c:pt idx="106">
                  <c:v>0.00669999999999993</c:v>
                </c:pt>
                <c:pt idx="107">
                  <c:v>0.00669999999999993</c:v>
                </c:pt>
                <c:pt idx="108">
                  <c:v>0.00669999999999993</c:v>
                </c:pt>
                <c:pt idx="109">
                  <c:v>0.00669999999999993</c:v>
                </c:pt>
                <c:pt idx="110">
                  <c:v>0.00669999999999993</c:v>
                </c:pt>
                <c:pt idx="111">
                  <c:v>0.00659999999999995</c:v>
                </c:pt>
                <c:pt idx="112">
                  <c:v>0.00659999999999995</c:v>
                </c:pt>
                <c:pt idx="113">
                  <c:v>0.00800000000000002</c:v>
                </c:pt>
                <c:pt idx="114">
                  <c:v>0.00790000000000004</c:v>
                </c:pt>
                <c:pt idx="115">
                  <c:v>0.00790000000000004</c:v>
                </c:pt>
                <c:pt idx="116">
                  <c:v>0.00790000000000004</c:v>
                </c:pt>
                <c:pt idx="117">
                  <c:v>0.0084</c:v>
                </c:pt>
                <c:pt idx="118">
                  <c:v>0.00849999999999998</c:v>
                </c:pt>
                <c:pt idx="119">
                  <c:v>0.00879999999999994</c:v>
                </c:pt>
                <c:pt idx="120">
                  <c:v>0.00910000000000012</c:v>
                </c:pt>
                <c:pt idx="121">
                  <c:v>0.0092000000000001</c:v>
                </c:pt>
                <c:pt idx="122">
                  <c:v>0.0092000000000001</c:v>
                </c:pt>
                <c:pt idx="123">
                  <c:v>0.00910000000000012</c:v>
                </c:pt>
                <c:pt idx="124">
                  <c:v>0.00980000000000005</c:v>
                </c:pt>
                <c:pt idx="125">
                  <c:v>0.01</c:v>
                </c:pt>
                <c:pt idx="126">
                  <c:v>0.0104</c:v>
                </c:pt>
                <c:pt idx="127">
                  <c:v>0.0106999999999999</c:v>
                </c:pt>
                <c:pt idx="128">
                  <c:v>0.0108999999999999</c:v>
                </c:pt>
                <c:pt idx="129">
                  <c:v>0.0108999999999999</c:v>
                </c:pt>
                <c:pt idx="130">
                  <c:v>0.0108999999999999</c:v>
                </c:pt>
                <c:pt idx="131">
                  <c:v>0.0116000000000001</c:v>
                </c:pt>
                <c:pt idx="132">
                  <c:v>0.0116000000000001</c:v>
                </c:pt>
                <c:pt idx="133">
                  <c:v>0.0118</c:v>
                </c:pt>
                <c:pt idx="134">
                  <c:v>0.0122</c:v>
                </c:pt>
                <c:pt idx="135">
                  <c:v>0.0123</c:v>
                </c:pt>
                <c:pt idx="136">
                  <c:v>0.0123</c:v>
                </c:pt>
                <c:pt idx="137">
                  <c:v>0.0123</c:v>
                </c:pt>
                <c:pt idx="138">
                  <c:v>0.0129999999999999</c:v>
                </c:pt>
                <c:pt idx="139">
                  <c:v>0.0126999999999999</c:v>
                </c:pt>
                <c:pt idx="140">
                  <c:v>0.0126999999999999</c:v>
                </c:pt>
                <c:pt idx="141">
                  <c:v>0.0126999999999999</c:v>
                </c:pt>
                <c:pt idx="142">
                  <c:v>0.0132000000000001</c:v>
                </c:pt>
                <c:pt idx="143">
                  <c:v>0.0132000000000001</c:v>
                </c:pt>
                <c:pt idx="144">
                  <c:v>0.0132000000000001</c:v>
                </c:pt>
                <c:pt idx="145">
                  <c:v>0.0143</c:v>
                </c:pt>
                <c:pt idx="146">
                  <c:v>0.0145</c:v>
                </c:pt>
                <c:pt idx="147">
                  <c:v>0.0145999999999999</c:v>
                </c:pt>
                <c:pt idx="148">
                  <c:v>0.0149999999999999</c:v>
                </c:pt>
                <c:pt idx="149">
                  <c:v>0.0159</c:v>
                </c:pt>
                <c:pt idx="150">
                  <c:v>0.0158</c:v>
                </c:pt>
                <c:pt idx="151">
                  <c:v>0.0158</c:v>
                </c:pt>
                <c:pt idx="152">
                  <c:v>0.0165999999999999</c:v>
                </c:pt>
                <c:pt idx="153">
                  <c:v>0.0167999999999999</c:v>
                </c:pt>
                <c:pt idx="154">
                  <c:v>0.0173000000000001</c:v>
                </c:pt>
                <c:pt idx="155">
                  <c:v>0.0175000000000001</c:v>
                </c:pt>
                <c:pt idx="156">
                  <c:v>0.0178</c:v>
                </c:pt>
                <c:pt idx="157">
                  <c:v>0.0177</c:v>
                </c:pt>
                <c:pt idx="158">
                  <c:v>0.0177</c:v>
                </c:pt>
                <c:pt idx="159">
                  <c:v>0.0177</c:v>
                </c:pt>
                <c:pt idx="160">
                  <c:v>0.0185</c:v>
                </c:pt>
                <c:pt idx="161">
                  <c:v>0.0188999999999999</c:v>
                </c:pt>
                <c:pt idx="162">
                  <c:v>0.0189999999999999</c:v>
                </c:pt>
                <c:pt idx="163">
                  <c:v>0.0192000000000001</c:v>
                </c:pt>
                <c:pt idx="164">
                  <c:v>0.0190999999999999</c:v>
                </c:pt>
                <c:pt idx="165">
                  <c:v>0.0190999999999999</c:v>
                </c:pt>
                <c:pt idx="166">
                  <c:v>0.0198</c:v>
                </c:pt>
                <c:pt idx="167">
                  <c:v>0.02</c:v>
                </c:pt>
                <c:pt idx="168">
                  <c:v>0.0203</c:v>
                </c:pt>
                <c:pt idx="169">
                  <c:v>0.0206</c:v>
                </c:pt>
                <c:pt idx="170">
                  <c:v>0.0207999999999999</c:v>
                </c:pt>
                <c:pt idx="171">
                  <c:v>0.0207999999999999</c:v>
                </c:pt>
                <c:pt idx="172">
                  <c:v>0.0207999999999999</c:v>
                </c:pt>
                <c:pt idx="173">
                  <c:v>0.0214000000000002</c:v>
                </c:pt>
                <c:pt idx="174">
                  <c:v>0.0219</c:v>
                </c:pt>
                <c:pt idx="175">
                  <c:v>0.0223</c:v>
                </c:pt>
                <c:pt idx="176">
                  <c:v>0.0226</c:v>
                </c:pt>
                <c:pt idx="177">
                  <c:v>0.0229999999999999</c:v>
                </c:pt>
                <c:pt idx="178">
                  <c:v>0.0229999999999999</c:v>
                </c:pt>
                <c:pt idx="179">
                  <c:v>0.0229999999999999</c:v>
                </c:pt>
                <c:pt idx="180">
                  <c:v>0.022</c:v>
                </c:pt>
                <c:pt idx="181">
                  <c:v>0.0221</c:v>
                </c:pt>
                <c:pt idx="182">
                  <c:v>0.022</c:v>
                </c:pt>
                <c:pt idx="183">
                  <c:v>0.022</c:v>
                </c:pt>
                <c:pt idx="184">
                  <c:v>0.0223</c:v>
                </c:pt>
                <c:pt idx="185">
                  <c:v>0.0223</c:v>
                </c:pt>
                <c:pt idx="186">
                  <c:v>0.0223</c:v>
                </c:pt>
                <c:pt idx="187">
                  <c:v>0.0222</c:v>
                </c:pt>
                <c:pt idx="188">
                  <c:v>0.0222</c:v>
                </c:pt>
                <c:pt idx="189">
                  <c:v>0.0222</c:v>
                </c:pt>
                <c:pt idx="190">
                  <c:v>0.0235000000000001</c:v>
                </c:pt>
                <c:pt idx="191">
                  <c:v>0.0238</c:v>
                </c:pt>
                <c:pt idx="192">
                  <c:v>0.0238</c:v>
                </c:pt>
                <c:pt idx="193">
                  <c:v>0.0238</c:v>
                </c:pt>
                <c:pt idx="194">
                  <c:v>0.0245</c:v>
                </c:pt>
                <c:pt idx="195">
                  <c:v>0.0248999999999999</c:v>
                </c:pt>
                <c:pt idx="196">
                  <c:v>0.0251999999999999</c:v>
                </c:pt>
                <c:pt idx="197">
                  <c:v>0.0256000000000002</c:v>
                </c:pt>
                <c:pt idx="198">
                  <c:v>0.0262</c:v>
                </c:pt>
                <c:pt idx="199">
                  <c:v>0.0261</c:v>
                </c:pt>
                <c:pt idx="200">
                  <c:v>0.0261</c:v>
                </c:pt>
                <c:pt idx="201">
                  <c:v>0.0276000000000002</c:v>
                </c:pt>
                <c:pt idx="202">
                  <c:v>0.0278000000000001</c:v>
                </c:pt>
                <c:pt idx="203">
                  <c:v>0.0282</c:v>
                </c:pt>
                <c:pt idx="204">
                  <c:v>0.0286</c:v>
                </c:pt>
                <c:pt idx="205">
                  <c:v>0.0286999999999999</c:v>
                </c:pt>
                <c:pt idx="206">
                  <c:v>0.0286999999999999</c:v>
                </c:pt>
                <c:pt idx="207">
                  <c:v>0.0286999999999999</c:v>
                </c:pt>
                <c:pt idx="208">
                  <c:v>0.0295000000000001</c:v>
                </c:pt>
                <c:pt idx="209">
                  <c:v>0.0297000000000001</c:v>
                </c:pt>
                <c:pt idx="210">
                  <c:v>0.03</c:v>
                </c:pt>
                <c:pt idx="211">
                  <c:v>0.0302</c:v>
                </c:pt>
                <c:pt idx="212">
                  <c:v>0.0308999999999999</c:v>
                </c:pt>
                <c:pt idx="213">
                  <c:v>0.0307999999999999</c:v>
                </c:pt>
                <c:pt idx="214">
                  <c:v>0.0307999999999999</c:v>
                </c:pt>
                <c:pt idx="215">
                  <c:v>0.0314000000000002</c:v>
                </c:pt>
                <c:pt idx="216">
                  <c:v>0.0316000000000002</c:v>
                </c:pt>
                <c:pt idx="217">
                  <c:v>0.032</c:v>
                </c:pt>
                <c:pt idx="218">
                  <c:v>0.0321</c:v>
                </c:pt>
                <c:pt idx="219">
                  <c:v>0.0323</c:v>
                </c:pt>
                <c:pt idx="220">
                  <c:v>0.0322</c:v>
                </c:pt>
                <c:pt idx="221">
                  <c:v>0.0322</c:v>
                </c:pt>
                <c:pt idx="222">
                  <c:v>0.0325</c:v>
                </c:pt>
                <c:pt idx="223">
                  <c:v>0.0324</c:v>
                </c:pt>
                <c:pt idx="224">
                  <c:v>0.0322</c:v>
                </c:pt>
                <c:pt idx="225">
                  <c:v>0.0324</c:v>
                </c:pt>
                <c:pt idx="226">
                  <c:v>0.0327</c:v>
                </c:pt>
                <c:pt idx="227">
                  <c:v>0.0327</c:v>
                </c:pt>
                <c:pt idx="228">
                  <c:v>0.0327</c:v>
                </c:pt>
                <c:pt idx="229">
                  <c:v>0.0327</c:v>
                </c:pt>
                <c:pt idx="230">
                  <c:v>0.0334000000000001</c:v>
                </c:pt>
                <c:pt idx="231">
                  <c:v>0.0334000000000001</c:v>
                </c:pt>
                <c:pt idx="232">
                  <c:v>0.0334000000000001</c:v>
                </c:pt>
                <c:pt idx="233">
                  <c:v>0.0335000000000001</c:v>
                </c:pt>
                <c:pt idx="234">
                  <c:v>0.0335000000000001</c:v>
                </c:pt>
                <c:pt idx="235">
                  <c:v>0.0335000000000001</c:v>
                </c:pt>
                <c:pt idx="236">
                  <c:v>0.0343</c:v>
                </c:pt>
                <c:pt idx="237">
                  <c:v>0.0344</c:v>
                </c:pt>
                <c:pt idx="238">
                  <c:v>0.0347</c:v>
                </c:pt>
                <c:pt idx="239">
                  <c:v>0.0350999999999999</c:v>
                </c:pt>
                <c:pt idx="240">
                  <c:v>0.0354000000000001</c:v>
                </c:pt>
                <c:pt idx="241">
                  <c:v>0.0354000000000001</c:v>
                </c:pt>
                <c:pt idx="242">
                  <c:v>0.0354000000000001</c:v>
                </c:pt>
                <c:pt idx="243">
                  <c:v>0.0361</c:v>
                </c:pt>
                <c:pt idx="244">
                  <c:v>0.0362000000000001</c:v>
                </c:pt>
                <c:pt idx="245">
                  <c:v>0.0349999999999999</c:v>
                </c:pt>
              </c:numCache>
            </c:numRef>
          </c:val>
          <c:smooth val="0"/>
        </c:ser>
        <c:ser>
          <c:idx val="1"/>
          <c:order val="1"/>
          <c:tx>
            <c:strRef>
              <c:f>'[超值宝增长率图表 最新.xlsx]图表区'!$C$1</c:f>
              <c:strCache>
                <c:ptCount val="1"/>
                <c:pt idx="0">
                  <c:v>业绩比较基准增长率</c:v>
                </c:pt>
              </c:strCache>
            </c:strRef>
          </c:tx>
          <c:spPr>
            <a:ln w="28575" cap="rnd" cmpd="sng" algn="ctr">
              <a:solidFill>
                <a:schemeClr val="accent2"/>
              </a:solidFill>
              <a:prstDash val="solid"/>
              <a:round/>
            </a:ln>
            <a:effectLst/>
          </c:spPr>
          <c:marker>
            <c:symbol val="none"/>
          </c:marker>
          <c:dLbls>
            <c:delete val="1"/>
          </c:dLbls>
          <c:cat>
            <c:numRef>
              <c:f>'[超值宝增长率图表 最新.xlsx]图表区'!$A$2:$A$715</c:f>
              <c:numCache>
                <c:formatCode>yyyy/m/d</c:formatCode>
                <c:ptCount val="714"/>
                <c:pt idx="0" c:formatCode="yyyy/m/d">
                  <c:v>44132</c:v>
                </c:pt>
                <c:pt idx="1" c:formatCode="yyyy/m/d">
                  <c:v>44133</c:v>
                </c:pt>
                <c:pt idx="2" c:formatCode="yyyy/m/d">
                  <c:v>44134</c:v>
                </c:pt>
                <c:pt idx="3" c:formatCode="yyyy/m/d">
                  <c:v>44135</c:v>
                </c:pt>
                <c:pt idx="4" c:formatCode="yyyy/m/d">
                  <c:v>44136</c:v>
                </c:pt>
                <c:pt idx="5" c:formatCode="yyyy/m/d">
                  <c:v>44137</c:v>
                </c:pt>
                <c:pt idx="6" c:formatCode="yyyy/m/d">
                  <c:v>44138</c:v>
                </c:pt>
                <c:pt idx="7" c:formatCode="yyyy/m/d">
                  <c:v>44139</c:v>
                </c:pt>
                <c:pt idx="8" c:formatCode="yyyy/m/d">
                  <c:v>44140</c:v>
                </c:pt>
                <c:pt idx="9" c:formatCode="yyyy/m/d">
                  <c:v>44141</c:v>
                </c:pt>
                <c:pt idx="10" c:formatCode="yyyy/m/d">
                  <c:v>44142</c:v>
                </c:pt>
                <c:pt idx="11" c:formatCode="yyyy/m/d">
                  <c:v>44143</c:v>
                </c:pt>
                <c:pt idx="12" c:formatCode="yyyy/m/d">
                  <c:v>44144</c:v>
                </c:pt>
                <c:pt idx="13" c:formatCode="yyyy/m/d">
                  <c:v>44145</c:v>
                </c:pt>
                <c:pt idx="14" c:formatCode="yyyy/m/d">
                  <c:v>44146</c:v>
                </c:pt>
                <c:pt idx="15" c:formatCode="yyyy/m/d">
                  <c:v>44147</c:v>
                </c:pt>
                <c:pt idx="16" c:formatCode="yyyy/m/d">
                  <c:v>44148</c:v>
                </c:pt>
                <c:pt idx="17" c:formatCode="yyyy/m/d">
                  <c:v>44149</c:v>
                </c:pt>
                <c:pt idx="18" c:formatCode="yyyy/m/d">
                  <c:v>44150</c:v>
                </c:pt>
                <c:pt idx="19" c:formatCode="yyyy/m/d">
                  <c:v>44151</c:v>
                </c:pt>
                <c:pt idx="20" c:formatCode="yyyy/m/d">
                  <c:v>44152</c:v>
                </c:pt>
                <c:pt idx="21" c:formatCode="yyyy/m/d">
                  <c:v>44153</c:v>
                </c:pt>
                <c:pt idx="22" c:formatCode="yyyy/m/d">
                  <c:v>44154</c:v>
                </c:pt>
                <c:pt idx="23" c:formatCode="yyyy/m/d">
                  <c:v>44155</c:v>
                </c:pt>
                <c:pt idx="24" c:formatCode="yyyy/m/d">
                  <c:v>44156</c:v>
                </c:pt>
                <c:pt idx="25" c:formatCode="yyyy/m/d">
                  <c:v>44157</c:v>
                </c:pt>
                <c:pt idx="26" c:formatCode="yyyy/m/d">
                  <c:v>44158</c:v>
                </c:pt>
                <c:pt idx="27" c:formatCode="yyyy/m/d">
                  <c:v>44159</c:v>
                </c:pt>
                <c:pt idx="28" c:formatCode="yyyy/m/d">
                  <c:v>44160</c:v>
                </c:pt>
                <c:pt idx="29" c:formatCode="yyyy/m/d">
                  <c:v>44161</c:v>
                </c:pt>
                <c:pt idx="30" c:formatCode="yyyy/m/d">
                  <c:v>44162</c:v>
                </c:pt>
                <c:pt idx="31" c:formatCode="yyyy/m/d">
                  <c:v>44163</c:v>
                </c:pt>
                <c:pt idx="32" c:formatCode="yyyy/m/d">
                  <c:v>44164</c:v>
                </c:pt>
                <c:pt idx="33" c:formatCode="yyyy/m/d">
                  <c:v>44165</c:v>
                </c:pt>
                <c:pt idx="34" c:formatCode="yyyy/m/d">
                  <c:v>44166</c:v>
                </c:pt>
                <c:pt idx="35" c:formatCode="yyyy/m/d">
                  <c:v>44167</c:v>
                </c:pt>
                <c:pt idx="36" c:formatCode="yyyy/m/d">
                  <c:v>44168</c:v>
                </c:pt>
                <c:pt idx="37" c:formatCode="yyyy/m/d">
                  <c:v>44169</c:v>
                </c:pt>
                <c:pt idx="38" c:formatCode="yyyy/m/d">
                  <c:v>44170</c:v>
                </c:pt>
                <c:pt idx="39" c:formatCode="yyyy/m/d">
                  <c:v>44171</c:v>
                </c:pt>
                <c:pt idx="40" c:formatCode="yyyy/m/d">
                  <c:v>44172</c:v>
                </c:pt>
                <c:pt idx="41" c:formatCode="yyyy/m/d">
                  <c:v>44173</c:v>
                </c:pt>
                <c:pt idx="42" c:formatCode="yyyy/m/d">
                  <c:v>44174</c:v>
                </c:pt>
                <c:pt idx="43" c:formatCode="yyyy/m/d">
                  <c:v>44175</c:v>
                </c:pt>
                <c:pt idx="44" c:formatCode="yyyy/m/d">
                  <c:v>44176</c:v>
                </c:pt>
                <c:pt idx="45" c:formatCode="yyyy/m/d">
                  <c:v>44177</c:v>
                </c:pt>
                <c:pt idx="46" c:formatCode="yyyy/m/d">
                  <c:v>44178</c:v>
                </c:pt>
                <c:pt idx="47" c:formatCode="yyyy/m/d">
                  <c:v>44179</c:v>
                </c:pt>
                <c:pt idx="48" c:formatCode="yyyy/m/d">
                  <c:v>44180</c:v>
                </c:pt>
                <c:pt idx="49" c:formatCode="yyyy/m/d">
                  <c:v>44181</c:v>
                </c:pt>
                <c:pt idx="50" c:formatCode="yyyy/m/d">
                  <c:v>44182</c:v>
                </c:pt>
                <c:pt idx="51" c:formatCode="yyyy/m/d">
                  <c:v>44183</c:v>
                </c:pt>
                <c:pt idx="52" c:formatCode="yyyy/m/d">
                  <c:v>44184</c:v>
                </c:pt>
                <c:pt idx="53" c:formatCode="yyyy/m/d">
                  <c:v>44185</c:v>
                </c:pt>
                <c:pt idx="54" c:formatCode="yyyy/m/d">
                  <c:v>44186</c:v>
                </c:pt>
                <c:pt idx="55" c:formatCode="yyyy/m/d">
                  <c:v>44187</c:v>
                </c:pt>
                <c:pt idx="56" c:formatCode="yyyy/m/d">
                  <c:v>44188</c:v>
                </c:pt>
                <c:pt idx="57" c:formatCode="yyyy/m/d">
                  <c:v>44189</c:v>
                </c:pt>
                <c:pt idx="58" c:formatCode="yyyy/m/d">
                  <c:v>44190</c:v>
                </c:pt>
                <c:pt idx="59" c:formatCode="yyyy/m/d">
                  <c:v>44191</c:v>
                </c:pt>
                <c:pt idx="60" c:formatCode="yyyy/m/d">
                  <c:v>44192</c:v>
                </c:pt>
                <c:pt idx="61" c:formatCode="yyyy/m/d">
                  <c:v>44193</c:v>
                </c:pt>
                <c:pt idx="62" c:formatCode="yyyy/m/d">
                  <c:v>44194</c:v>
                </c:pt>
                <c:pt idx="63" c:formatCode="yyyy/m/d">
                  <c:v>44195</c:v>
                </c:pt>
                <c:pt idx="64" c:formatCode="yyyy/m/d">
                  <c:v>44196</c:v>
                </c:pt>
                <c:pt idx="65" c:formatCode="yyyy/m/d">
                  <c:v>44197</c:v>
                </c:pt>
                <c:pt idx="66" c:formatCode="yyyy/m/d">
                  <c:v>44198</c:v>
                </c:pt>
                <c:pt idx="67" c:formatCode="yyyy/m/d">
                  <c:v>44199</c:v>
                </c:pt>
                <c:pt idx="68" c:formatCode="yyyy/m/d">
                  <c:v>44200</c:v>
                </c:pt>
                <c:pt idx="69" c:formatCode="yyyy/m/d">
                  <c:v>44201</c:v>
                </c:pt>
                <c:pt idx="70" c:formatCode="yyyy/m/d">
                  <c:v>44202</c:v>
                </c:pt>
                <c:pt idx="71" c:formatCode="yyyy/m/d">
                  <c:v>44203</c:v>
                </c:pt>
                <c:pt idx="72" c:formatCode="yyyy/m/d">
                  <c:v>44204</c:v>
                </c:pt>
                <c:pt idx="73" c:formatCode="yyyy/m/d">
                  <c:v>44205</c:v>
                </c:pt>
                <c:pt idx="74" c:formatCode="yyyy/m/d">
                  <c:v>44206</c:v>
                </c:pt>
                <c:pt idx="75" c:formatCode="yyyy/m/d">
                  <c:v>44207</c:v>
                </c:pt>
                <c:pt idx="76" c:formatCode="yyyy/m/d">
                  <c:v>44208</c:v>
                </c:pt>
                <c:pt idx="77" c:formatCode="yyyy/m/d">
                  <c:v>44209</c:v>
                </c:pt>
                <c:pt idx="78" c:formatCode="yyyy/m/d">
                  <c:v>44210</c:v>
                </c:pt>
                <c:pt idx="79" c:formatCode="yyyy/m/d">
                  <c:v>44211</c:v>
                </c:pt>
                <c:pt idx="80" c:formatCode="yyyy/m/d">
                  <c:v>44212</c:v>
                </c:pt>
                <c:pt idx="81" c:formatCode="yyyy/m/d">
                  <c:v>44213</c:v>
                </c:pt>
                <c:pt idx="82" c:formatCode="yyyy/m/d">
                  <c:v>44214</c:v>
                </c:pt>
                <c:pt idx="83" c:formatCode="yyyy/m/d">
                  <c:v>44215</c:v>
                </c:pt>
                <c:pt idx="84" c:formatCode="yyyy/m/d">
                  <c:v>44216</c:v>
                </c:pt>
                <c:pt idx="85" c:formatCode="yyyy/m/d">
                  <c:v>44217</c:v>
                </c:pt>
                <c:pt idx="86" c:formatCode="yyyy/m/d">
                  <c:v>44218</c:v>
                </c:pt>
                <c:pt idx="87" c:formatCode="yyyy/m/d">
                  <c:v>44219</c:v>
                </c:pt>
                <c:pt idx="88" c:formatCode="yyyy/m/d">
                  <c:v>44220</c:v>
                </c:pt>
                <c:pt idx="89" c:formatCode="yyyy/m/d">
                  <c:v>44221</c:v>
                </c:pt>
                <c:pt idx="90" c:formatCode="yyyy/m/d">
                  <c:v>44222</c:v>
                </c:pt>
                <c:pt idx="91" c:formatCode="yyyy/m/d">
                  <c:v>44223</c:v>
                </c:pt>
                <c:pt idx="92" c:formatCode="yyyy/m/d">
                  <c:v>44224</c:v>
                </c:pt>
                <c:pt idx="93" c:formatCode="yyyy/m/d">
                  <c:v>44225</c:v>
                </c:pt>
                <c:pt idx="94" c:formatCode="yyyy/m/d">
                  <c:v>44226</c:v>
                </c:pt>
                <c:pt idx="95" c:formatCode="yyyy/m/d">
                  <c:v>44227</c:v>
                </c:pt>
                <c:pt idx="96" c:formatCode="yyyy/m/d">
                  <c:v>44228</c:v>
                </c:pt>
                <c:pt idx="97" c:formatCode="yyyy/m/d">
                  <c:v>44229</c:v>
                </c:pt>
                <c:pt idx="98" c:formatCode="yyyy/m/d">
                  <c:v>44230</c:v>
                </c:pt>
                <c:pt idx="99" c:formatCode="yyyy/m/d">
                  <c:v>44231</c:v>
                </c:pt>
                <c:pt idx="100" c:formatCode="yyyy/m/d">
                  <c:v>44232</c:v>
                </c:pt>
                <c:pt idx="101" c:formatCode="yyyy/m/d">
                  <c:v>44233</c:v>
                </c:pt>
                <c:pt idx="102" c:formatCode="yyyy/m/d">
                  <c:v>44234</c:v>
                </c:pt>
                <c:pt idx="103" c:formatCode="yyyy/m/d">
                  <c:v>44235</c:v>
                </c:pt>
                <c:pt idx="104" c:formatCode="yyyy/m/d">
                  <c:v>44236</c:v>
                </c:pt>
                <c:pt idx="105" c:formatCode="yyyy/m/d">
                  <c:v>44237</c:v>
                </c:pt>
                <c:pt idx="106" c:formatCode="yyyy/m/d">
                  <c:v>44238</c:v>
                </c:pt>
                <c:pt idx="107" c:formatCode="yyyy/m/d">
                  <c:v>44239</c:v>
                </c:pt>
                <c:pt idx="108" c:formatCode="yyyy/m/d">
                  <c:v>44240</c:v>
                </c:pt>
                <c:pt idx="109" c:formatCode="yyyy/m/d">
                  <c:v>44241</c:v>
                </c:pt>
                <c:pt idx="110" c:formatCode="yyyy/m/d">
                  <c:v>44242</c:v>
                </c:pt>
                <c:pt idx="111" c:formatCode="yyyy/m/d">
                  <c:v>44243</c:v>
                </c:pt>
                <c:pt idx="112" c:formatCode="yyyy/m/d">
                  <c:v>44244</c:v>
                </c:pt>
                <c:pt idx="113" c:formatCode="yyyy/m/d">
                  <c:v>44245</c:v>
                </c:pt>
                <c:pt idx="114" c:formatCode="yyyy/m/d">
                  <c:v>44246</c:v>
                </c:pt>
                <c:pt idx="115" c:formatCode="yyyy/m/d">
                  <c:v>44247</c:v>
                </c:pt>
                <c:pt idx="116" c:formatCode="yyyy/m/d">
                  <c:v>44248</c:v>
                </c:pt>
                <c:pt idx="117" c:formatCode="yyyy/m/d">
                  <c:v>44249</c:v>
                </c:pt>
                <c:pt idx="118" c:formatCode="yyyy/m/d">
                  <c:v>44250</c:v>
                </c:pt>
                <c:pt idx="119" c:formatCode="yyyy/m/d">
                  <c:v>44251</c:v>
                </c:pt>
                <c:pt idx="120" c:formatCode="yyyy/m/d">
                  <c:v>44252</c:v>
                </c:pt>
                <c:pt idx="121" c:formatCode="yyyy/m/d">
                  <c:v>44253</c:v>
                </c:pt>
                <c:pt idx="122" c:formatCode="yyyy/m/d">
                  <c:v>44254</c:v>
                </c:pt>
                <c:pt idx="123" c:formatCode="yyyy/m/d">
                  <c:v>44255</c:v>
                </c:pt>
                <c:pt idx="124" c:formatCode="yyyy/m/d">
                  <c:v>44256</c:v>
                </c:pt>
                <c:pt idx="125" c:formatCode="yyyy/m/d">
                  <c:v>44257</c:v>
                </c:pt>
                <c:pt idx="126" c:formatCode="yyyy/m/d">
                  <c:v>44258</c:v>
                </c:pt>
                <c:pt idx="127" c:formatCode="yyyy/m/d">
                  <c:v>44259</c:v>
                </c:pt>
                <c:pt idx="128" c:formatCode="yyyy/m/d">
                  <c:v>44260</c:v>
                </c:pt>
                <c:pt idx="129" c:formatCode="yyyy/m/d">
                  <c:v>44261</c:v>
                </c:pt>
                <c:pt idx="130" c:formatCode="yyyy/m/d">
                  <c:v>44262</c:v>
                </c:pt>
                <c:pt idx="131" c:formatCode="yyyy/m/d">
                  <c:v>44263</c:v>
                </c:pt>
                <c:pt idx="132" c:formatCode="yyyy/m/d">
                  <c:v>44264</c:v>
                </c:pt>
                <c:pt idx="133" c:formatCode="yyyy/m/d">
                  <c:v>44265</c:v>
                </c:pt>
                <c:pt idx="134" c:formatCode="yyyy/m/d">
                  <c:v>44266</c:v>
                </c:pt>
                <c:pt idx="135" c:formatCode="yyyy/m/d">
                  <c:v>44267</c:v>
                </c:pt>
                <c:pt idx="136" c:formatCode="yyyy/m/d">
                  <c:v>44268</c:v>
                </c:pt>
                <c:pt idx="137" c:formatCode="yyyy/m/d">
                  <c:v>44269</c:v>
                </c:pt>
                <c:pt idx="138" c:formatCode="yyyy/m/d">
                  <c:v>44270</c:v>
                </c:pt>
                <c:pt idx="139" c:formatCode="yyyy/m/d">
                  <c:v>44271</c:v>
                </c:pt>
                <c:pt idx="140" c:formatCode="yyyy/m/d">
                  <c:v>44272</c:v>
                </c:pt>
                <c:pt idx="141" c:formatCode="yyyy/m/d">
                  <c:v>44273</c:v>
                </c:pt>
                <c:pt idx="142" c:formatCode="yyyy/m/d">
                  <c:v>44274</c:v>
                </c:pt>
                <c:pt idx="143" c:formatCode="yyyy/m/d">
                  <c:v>44275</c:v>
                </c:pt>
                <c:pt idx="144" c:formatCode="yyyy/m/d">
                  <c:v>44276</c:v>
                </c:pt>
                <c:pt idx="145" c:formatCode="yyyy/m/d">
                  <c:v>44277</c:v>
                </c:pt>
                <c:pt idx="146" c:formatCode="yyyy/m/d">
                  <c:v>44278</c:v>
                </c:pt>
                <c:pt idx="147" c:formatCode="yyyy/m/d">
                  <c:v>44279</c:v>
                </c:pt>
                <c:pt idx="148" c:formatCode="yyyy/m/d">
                  <c:v>44280</c:v>
                </c:pt>
                <c:pt idx="149" c:formatCode="yyyy/m/d">
                  <c:v>44281</c:v>
                </c:pt>
                <c:pt idx="150" c:formatCode="yyyy/m/d">
                  <c:v>44282</c:v>
                </c:pt>
                <c:pt idx="151" c:formatCode="yyyy/m/d">
                  <c:v>44283</c:v>
                </c:pt>
                <c:pt idx="152" c:formatCode="yyyy/m/d">
                  <c:v>44284</c:v>
                </c:pt>
                <c:pt idx="153" c:formatCode="yyyy/m/d">
                  <c:v>44285</c:v>
                </c:pt>
                <c:pt idx="154" c:formatCode="yyyy/m/d">
                  <c:v>44286</c:v>
                </c:pt>
                <c:pt idx="155" c:formatCode="yyyy/m/d">
                  <c:v>44287</c:v>
                </c:pt>
                <c:pt idx="156" c:formatCode="yyyy/m/d">
                  <c:v>44288</c:v>
                </c:pt>
                <c:pt idx="157" c:formatCode="yyyy/m/d">
                  <c:v>44289</c:v>
                </c:pt>
                <c:pt idx="158" c:formatCode="yyyy/m/d">
                  <c:v>44290</c:v>
                </c:pt>
                <c:pt idx="159" c:formatCode="yyyy/m/d">
                  <c:v>44291</c:v>
                </c:pt>
                <c:pt idx="160" c:formatCode="yyyy/m/d">
                  <c:v>44292</c:v>
                </c:pt>
                <c:pt idx="161" c:formatCode="yyyy/m/d">
                  <c:v>44293</c:v>
                </c:pt>
                <c:pt idx="162" c:formatCode="yyyy/m/d">
                  <c:v>44294</c:v>
                </c:pt>
                <c:pt idx="163" c:formatCode="yyyy/m/d">
                  <c:v>44295</c:v>
                </c:pt>
                <c:pt idx="164" c:formatCode="yyyy/m/d">
                  <c:v>44296</c:v>
                </c:pt>
                <c:pt idx="165" c:formatCode="yyyy/m/d">
                  <c:v>44297</c:v>
                </c:pt>
                <c:pt idx="166" c:formatCode="yyyy/m/d">
                  <c:v>44298</c:v>
                </c:pt>
                <c:pt idx="167" c:formatCode="yyyy/m/d">
                  <c:v>44299</c:v>
                </c:pt>
                <c:pt idx="168" c:formatCode="yyyy/m/d">
                  <c:v>44300</c:v>
                </c:pt>
                <c:pt idx="169" c:formatCode="yyyy/m/d">
                  <c:v>44301</c:v>
                </c:pt>
                <c:pt idx="170" c:formatCode="yyyy/m/d">
                  <c:v>44302</c:v>
                </c:pt>
                <c:pt idx="171" c:formatCode="yyyy/m/d">
                  <c:v>44303</c:v>
                </c:pt>
                <c:pt idx="172" c:formatCode="yyyy/m/d">
                  <c:v>44304</c:v>
                </c:pt>
                <c:pt idx="173" c:formatCode="yyyy/m/d">
                  <c:v>44305</c:v>
                </c:pt>
                <c:pt idx="174" c:formatCode="yyyy/m/d">
                  <c:v>44306</c:v>
                </c:pt>
                <c:pt idx="175" c:formatCode="yyyy/m/d">
                  <c:v>44307</c:v>
                </c:pt>
                <c:pt idx="176" c:formatCode="yyyy/m/d">
                  <c:v>44308</c:v>
                </c:pt>
                <c:pt idx="177" c:formatCode="yyyy/m/d">
                  <c:v>44309</c:v>
                </c:pt>
                <c:pt idx="178" c:formatCode="yyyy/m/d">
                  <c:v>44310</c:v>
                </c:pt>
                <c:pt idx="179" c:formatCode="yyyy/m/d">
                  <c:v>44311</c:v>
                </c:pt>
                <c:pt idx="180" c:formatCode="yyyy/m/d">
                  <c:v>44312</c:v>
                </c:pt>
                <c:pt idx="181" c:formatCode="yyyy/m/d">
                  <c:v>44313</c:v>
                </c:pt>
                <c:pt idx="182" c:formatCode="yyyy/m/d">
                  <c:v>44314</c:v>
                </c:pt>
                <c:pt idx="183" c:formatCode="yyyy/m/d">
                  <c:v>44315</c:v>
                </c:pt>
                <c:pt idx="184" c:formatCode="yyyy/m/d">
                  <c:v>44316</c:v>
                </c:pt>
                <c:pt idx="185" c:formatCode="yyyy/m/d">
                  <c:v>44317</c:v>
                </c:pt>
                <c:pt idx="186" c:formatCode="yyyy/m/d">
                  <c:v>44318</c:v>
                </c:pt>
                <c:pt idx="187" c:formatCode="yyyy/m/d">
                  <c:v>44319</c:v>
                </c:pt>
                <c:pt idx="188" c:formatCode="yyyy/m/d">
                  <c:v>44320</c:v>
                </c:pt>
                <c:pt idx="189" c:formatCode="yyyy/m/d">
                  <c:v>44321</c:v>
                </c:pt>
                <c:pt idx="190" c:formatCode="yyyy/m/d">
                  <c:v>44322</c:v>
                </c:pt>
                <c:pt idx="191" c:formatCode="yyyy/m/d">
                  <c:v>44323</c:v>
                </c:pt>
                <c:pt idx="192" c:formatCode="yyyy/m/d">
                  <c:v>44324</c:v>
                </c:pt>
                <c:pt idx="193" c:formatCode="yyyy/m/d">
                  <c:v>44325</c:v>
                </c:pt>
                <c:pt idx="194" c:formatCode="yyyy/m/d">
                  <c:v>44326</c:v>
                </c:pt>
                <c:pt idx="195" c:formatCode="yyyy/m/d">
                  <c:v>44327</c:v>
                </c:pt>
                <c:pt idx="196" c:formatCode="yyyy/m/d">
                  <c:v>44328</c:v>
                </c:pt>
                <c:pt idx="197" c:formatCode="yyyy/m/d">
                  <c:v>44329</c:v>
                </c:pt>
                <c:pt idx="198" c:formatCode="yyyy/m/d">
                  <c:v>44330</c:v>
                </c:pt>
                <c:pt idx="199" c:formatCode="yyyy/m/d">
                  <c:v>44331</c:v>
                </c:pt>
                <c:pt idx="200" c:formatCode="yyyy/m/d">
                  <c:v>44332</c:v>
                </c:pt>
                <c:pt idx="201" c:formatCode="yyyy/m/d">
                  <c:v>44333</c:v>
                </c:pt>
                <c:pt idx="202" c:formatCode="yyyy/m/d">
                  <c:v>44334</c:v>
                </c:pt>
                <c:pt idx="203" c:formatCode="yyyy/m/d">
                  <c:v>44335</c:v>
                </c:pt>
                <c:pt idx="204" c:formatCode="yyyy/m/d">
                  <c:v>44336</c:v>
                </c:pt>
                <c:pt idx="205" c:formatCode="yyyy/m/d">
                  <c:v>44337</c:v>
                </c:pt>
                <c:pt idx="206" c:formatCode="yyyy/m/d">
                  <c:v>44338</c:v>
                </c:pt>
                <c:pt idx="207" c:formatCode="yyyy/m/d">
                  <c:v>44339</c:v>
                </c:pt>
                <c:pt idx="208" c:formatCode="yyyy/m/d">
                  <c:v>44340</c:v>
                </c:pt>
                <c:pt idx="209" c:formatCode="yyyy/m/d">
                  <c:v>44341</c:v>
                </c:pt>
                <c:pt idx="210" c:formatCode="yyyy/m/d">
                  <c:v>44342</c:v>
                </c:pt>
                <c:pt idx="211" c:formatCode="yyyy/m/d">
                  <c:v>44343</c:v>
                </c:pt>
                <c:pt idx="212" c:formatCode="yyyy/m/d">
                  <c:v>44344</c:v>
                </c:pt>
                <c:pt idx="213" c:formatCode="yyyy/m/d">
                  <c:v>44345</c:v>
                </c:pt>
                <c:pt idx="214" c:formatCode="yyyy/m/d">
                  <c:v>44346</c:v>
                </c:pt>
                <c:pt idx="215" c:formatCode="yyyy/m/d">
                  <c:v>44347</c:v>
                </c:pt>
                <c:pt idx="216" c:formatCode="yyyy/m/d">
                  <c:v>44348</c:v>
                </c:pt>
                <c:pt idx="217" c:formatCode="yyyy/m/d">
                  <c:v>44349</c:v>
                </c:pt>
                <c:pt idx="218" c:formatCode="yyyy/m/d">
                  <c:v>44350</c:v>
                </c:pt>
                <c:pt idx="219" c:formatCode="yyyy/m/d">
                  <c:v>44351</c:v>
                </c:pt>
                <c:pt idx="220" c:formatCode="yyyy/m/d">
                  <c:v>44352</c:v>
                </c:pt>
                <c:pt idx="221" c:formatCode="yyyy/m/d">
                  <c:v>44353</c:v>
                </c:pt>
                <c:pt idx="222" c:formatCode="yyyy/m/d">
                  <c:v>44354</c:v>
                </c:pt>
                <c:pt idx="223" c:formatCode="yyyy/m/d">
                  <c:v>44355</c:v>
                </c:pt>
                <c:pt idx="224" c:formatCode="yyyy/m/d">
                  <c:v>44356</c:v>
                </c:pt>
                <c:pt idx="225" c:formatCode="yyyy/m/d">
                  <c:v>44357</c:v>
                </c:pt>
                <c:pt idx="226" c:formatCode="yyyy/m/d">
                  <c:v>44358</c:v>
                </c:pt>
                <c:pt idx="227" c:formatCode="yyyy/m/d">
                  <c:v>44359</c:v>
                </c:pt>
                <c:pt idx="228" c:formatCode="yyyy/m/d">
                  <c:v>44360</c:v>
                </c:pt>
                <c:pt idx="229" c:formatCode="yyyy/m/d">
                  <c:v>44361</c:v>
                </c:pt>
                <c:pt idx="230" c:formatCode="yyyy/m/d">
                  <c:v>44362</c:v>
                </c:pt>
                <c:pt idx="231" c:formatCode="yyyy/m/d">
                  <c:v>44363</c:v>
                </c:pt>
                <c:pt idx="232" c:formatCode="yyyy/m/d">
                  <c:v>44364</c:v>
                </c:pt>
                <c:pt idx="233" c:formatCode="yyyy/m/d">
                  <c:v>44365</c:v>
                </c:pt>
                <c:pt idx="234" c:formatCode="yyyy/m/d">
                  <c:v>44366</c:v>
                </c:pt>
                <c:pt idx="235" c:formatCode="yyyy/m/d">
                  <c:v>44367</c:v>
                </c:pt>
                <c:pt idx="236" c:formatCode="yyyy/m/d">
                  <c:v>44368</c:v>
                </c:pt>
                <c:pt idx="237" c:formatCode="yyyy/m/d">
                  <c:v>44369</c:v>
                </c:pt>
                <c:pt idx="238" c:formatCode="yyyy/m/d">
                  <c:v>44370</c:v>
                </c:pt>
                <c:pt idx="239" c:formatCode="yyyy/m/d">
                  <c:v>44371</c:v>
                </c:pt>
                <c:pt idx="240" c:formatCode="yyyy/m/d">
                  <c:v>44372</c:v>
                </c:pt>
                <c:pt idx="241" c:formatCode="yyyy/m/d">
                  <c:v>44373</c:v>
                </c:pt>
                <c:pt idx="242" c:formatCode="yyyy/m/d">
                  <c:v>44374</c:v>
                </c:pt>
                <c:pt idx="243" c:formatCode="yyyy/m/d">
                  <c:v>44375</c:v>
                </c:pt>
                <c:pt idx="244" c:formatCode="yyyy/m/d">
                  <c:v>44376</c:v>
                </c:pt>
                <c:pt idx="245" c:formatCode="yyyy/m/d">
                  <c:v>44377</c:v>
                </c:pt>
              </c:numCache>
            </c:numRef>
          </c:cat>
          <c:val>
            <c:numRef>
              <c:f>'[超值宝增长率图表 最新.xlsx]图表区'!$C$2:$C$715</c:f>
              <c:numCache>
                <c:formatCode>General</c:formatCode>
                <c:ptCount val="714"/>
                <c:pt idx="0">
                  <c:v>0.000153424657534247</c:v>
                </c:pt>
                <c:pt idx="1">
                  <c:v>0.000306849315068494</c:v>
                </c:pt>
                <c:pt idx="2">
                  <c:v>0.00046027397260274</c:v>
                </c:pt>
                <c:pt idx="3">
                  <c:v>0.000613698630136987</c:v>
                </c:pt>
                <c:pt idx="4">
                  <c:v>0.000767123287671234</c:v>
                </c:pt>
                <c:pt idx="5">
                  <c:v>0.00092054794520548</c:v>
                </c:pt>
                <c:pt idx="6">
                  <c:v>0.00107397260273973</c:v>
                </c:pt>
                <c:pt idx="7">
                  <c:v>0.00122739726027397</c:v>
                </c:pt>
                <c:pt idx="8">
                  <c:v>0.00138082191780822</c:v>
                </c:pt>
                <c:pt idx="9">
                  <c:v>0.00153424657534247</c:v>
                </c:pt>
                <c:pt idx="10">
                  <c:v>0.00168767123287671</c:v>
                </c:pt>
                <c:pt idx="11">
                  <c:v>0.00184109589041096</c:v>
                </c:pt>
                <c:pt idx="12">
                  <c:v>0.00199452054794521</c:v>
                </c:pt>
                <c:pt idx="13">
                  <c:v>0.00214794520547946</c:v>
                </c:pt>
                <c:pt idx="14">
                  <c:v>0.0023013698630137</c:v>
                </c:pt>
                <c:pt idx="15">
                  <c:v>0.00245479452054795</c:v>
                </c:pt>
                <c:pt idx="16">
                  <c:v>0.0026082191780822</c:v>
                </c:pt>
                <c:pt idx="17">
                  <c:v>0.00276164383561644</c:v>
                </c:pt>
                <c:pt idx="18">
                  <c:v>0.00291506849315068</c:v>
                </c:pt>
                <c:pt idx="19">
                  <c:v>0.00306849315068494</c:v>
                </c:pt>
                <c:pt idx="20">
                  <c:v>0.00322191780821919</c:v>
                </c:pt>
                <c:pt idx="21">
                  <c:v>0.00337534246575342</c:v>
                </c:pt>
                <c:pt idx="22">
                  <c:v>0.00352876712328768</c:v>
                </c:pt>
                <c:pt idx="23">
                  <c:v>0.00368219178082193</c:v>
                </c:pt>
                <c:pt idx="24">
                  <c:v>0.00383561643835616</c:v>
                </c:pt>
                <c:pt idx="25">
                  <c:v>0.00398904109589042</c:v>
                </c:pt>
                <c:pt idx="26">
                  <c:v>0.00414246575342467</c:v>
                </c:pt>
                <c:pt idx="27">
                  <c:v>0.0042958904109589</c:v>
                </c:pt>
                <c:pt idx="28">
                  <c:v>0.00444931506849316</c:v>
                </c:pt>
                <c:pt idx="29">
                  <c:v>0.0046027397260274</c:v>
                </c:pt>
                <c:pt idx="30">
                  <c:v>0.00475616438356165</c:v>
                </c:pt>
                <c:pt idx="31">
                  <c:v>0.00490958904109589</c:v>
                </c:pt>
                <c:pt idx="32">
                  <c:v>0.00506301369863015</c:v>
                </c:pt>
                <c:pt idx="33">
                  <c:v>0.00521643835616438</c:v>
                </c:pt>
                <c:pt idx="34">
                  <c:v>0.00536986301369865</c:v>
                </c:pt>
                <c:pt idx="35">
                  <c:v>0.00552328767123289</c:v>
                </c:pt>
                <c:pt idx="36">
                  <c:v>0.00567671232876713</c:v>
                </c:pt>
                <c:pt idx="37">
                  <c:v>0.00583013698630138</c:v>
                </c:pt>
                <c:pt idx="38">
                  <c:v>0.00598356164383564</c:v>
                </c:pt>
                <c:pt idx="39">
                  <c:v>0.00613698630136987</c:v>
                </c:pt>
                <c:pt idx="40">
                  <c:v>0.00629041095890411</c:v>
                </c:pt>
                <c:pt idx="41">
                  <c:v>0.00644383561643836</c:v>
                </c:pt>
                <c:pt idx="42">
                  <c:v>0.00659726027397261</c:v>
                </c:pt>
                <c:pt idx="43">
                  <c:v>0.00675068493150685</c:v>
                </c:pt>
                <c:pt idx="44">
                  <c:v>0.00690410958904109</c:v>
                </c:pt>
                <c:pt idx="45">
                  <c:v>0.00705753424657533</c:v>
                </c:pt>
                <c:pt idx="46">
                  <c:v>0.0072109589041096</c:v>
                </c:pt>
                <c:pt idx="47">
                  <c:v>0.00736438356164384</c:v>
                </c:pt>
                <c:pt idx="48">
                  <c:v>0.00751780821917808</c:v>
                </c:pt>
                <c:pt idx="49">
                  <c:v>0.00767123287671234</c:v>
                </c:pt>
                <c:pt idx="50">
                  <c:v>0.00782465753424657</c:v>
                </c:pt>
                <c:pt idx="51">
                  <c:v>0.00797808219178085</c:v>
                </c:pt>
                <c:pt idx="52">
                  <c:v>0.00813150684931508</c:v>
                </c:pt>
                <c:pt idx="53">
                  <c:v>0.00828493150684933</c:v>
                </c:pt>
                <c:pt idx="54">
                  <c:v>0.00843835616438356</c:v>
                </c:pt>
                <c:pt idx="55">
                  <c:v>0.00859178082191782</c:v>
                </c:pt>
                <c:pt idx="56">
                  <c:v>0.00874520547945206</c:v>
                </c:pt>
                <c:pt idx="57">
                  <c:v>0.00889863013698633</c:v>
                </c:pt>
                <c:pt idx="58">
                  <c:v>0.00905205479452057</c:v>
                </c:pt>
                <c:pt idx="59">
                  <c:v>0.0092054794520548</c:v>
                </c:pt>
                <c:pt idx="60">
                  <c:v>0.00935890410958906</c:v>
                </c:pt>
                <c:pt idx="61">
                  <c:v>0.00951232876712329</c:v>
                </c:pt>
                <c:pt idx="62">
                  <c:v>0.00966575342465753</c:v>
                </c:pt>
                <c:pt idx="63">
                  <c:v>0.00981917808219177</c:v>
                </c:pt>
                <c:pt idx="64">
                  <c:v>0.00997260273972608</c:v>
                </c:pt>
                <c:pt idx="65">
                  <c:v>0.0101260273972603</c:v>
                </c:pt>
                <c:pt idx="66">
                  <c:v>0.0102794520547945</c:v>
                </c:pt>
                <c:pt idx="67">
                  <c:v>0.0104328767123288</c:v>
                </c:pt>
                <c:pt idx="68">
                  <c:v>0.010586301369863</c:v>
                </c:pt>
                <c:pt idx="69">
                  <c:v>0.0107397260273973</c:v>
                </c:pt>
                <c:pt idx="70">
                  <c:v>0.0108931506849315</c:v>
                </c:pt>
                <c:pt idx="71">
                  <c:v>0.0110465753424659</c:v>
                </c:pt>
                <c:pt idx="72">
                  <c:v>0.0112</c:v>
                </c:pt>
                <c:pt idx="73">
                  <c:v>0.0113534246575342</c:v>
                </c:pt>
                <c:pt idx="74">
                  <c:v>0.0115068493150685</c:v>
                </c:pt>
                <c:pt idx="75">
                  <c:v>0.0116602739726027</c:v>
                </c:pt>
                <c:pt idx="76">
                  <c:v>0.011813698630137</c:v>
                </c:pt>
                <c:pt idx="77">
                  <c:v>0.0119671232876712</c:v>
                </c:pt>
                <c:pt idx="78">
                  <c:v>0.0121205479452055</c:v>
                </c:pt>
                <c:pt idx="79">
                  <c:v>0.0122739726027397</c:v>
                </c:pt>
                <c:pt idx="80">
                  <c:v>0.012427397260274</c:v>
                </c:pt>
                <c:pt idx="81">
                  <c:v>0.0125808219178082</c:v>
                </c:pt>
                <c:pt idx="82">
                  <c:v>0.0127342465753425</c:v>
                </c:pt>
                <c:pt idx="83">
                  <c:v>0.0128876712328767</c:v>
                </c:pt>
                <c:pt idx="84">
                  <c:v>0.013041095890411</c:v>
                </c:pt>
                <c:pt idx="85">
                  <c:v>0.0131945205479452</c:v>
                </c:pt>
                <c:pt idx="86">
                  <c:v>0.0133479452054795</c:v>
                </c:pt>
                <c:pt idx="87">
                  <c:v>0.0135013698630137</c:v>
                </c:pt>
                <c:pt idx="88">
                  <c:v>0.0136547945205479</c:v>
                </c:pt>
                <c:pt idx="89">
                  <c:v>0.0138082191780822</c:v>
                </c:pt>
                <c:pt idx="90">
                  <c:v>0.0139616438356164</c:v>
                </c:pt>
                <c:pt idx="91">
                  <c:v>0.0141150684931507</c:v>
                </c:pt>
                <c:pt idx="92">
                  <c:v>0.0142684931506849</c:v>
                </c:pt>
                <c:pt idx="93">
                  <c:v>0.0144219178082192</c:v>
                </c:pt>
                <c:pt idx="94">
                  <c:v>0.0145753424657534</c:v>
                </c:pt>
                <c:pt idx="95">
                  <c:v>0.0147287671232877</c:v>
                </c:pt>
                <c:pt idx="96">
                  <c:v>0.0148821917808219</c:v>
                </c:pt>
                <c:pt idx="97">
                  <c:v>0.0150356164383562</c:v>
                </c:pt>
                <c:pt idx="98">
                  <c:v>0.0151890410958904</c:v>
                </c:pt>
                <c:pt idx="99">
                  <c:v>0.0153424657534247</c:v>
                </c:pt>
                <c:pt idx="100">
                  <c:v>0.0154958904109589</c:v>
                </c:pt>
                <c:pt idx="101">
                  <c:v>0.0156493150684931</c:v>
                </c:pt>
                <c:pt idx="102">
                  <c:v>0.0158027397260274</c:v>
                </c:pt>
                <c:pt idx="103">
                  <c:v>0.0159561643835616</c:v>
                </c:pt>
                <c:pt idx="104">
                  <c:v>0.0161095890410959</c:v>
                </c:pt>
                <c:pt idx="105">
                  <c:v>0.0162630136986301</c:v>
                </c:pt>
                <c:pt idx="106">
                  <c:v>0.0164164383561644</c:v>
                </c:pt>
                <c:pt idx="107">
                  <c:v>0.0165698630136986</c:v>
                </c:pt>
                <c:pt idx="108">
                  <c:v>0.0167232876712329</c:v>
                </c:pt>
                <c:pt idx="109">
                  <c:v>0.0168767123287671</c:v>
                </c:pt>
                <c:pt idx="110">
                  <c:v>0.0170301369863014</c:v>
                </c:pt>
                <c:pt idx="111">
                  <c:v>0.0171835616438356</c:v>
                </c:pt>
                <c:pt idx="112">
                  <c:v>0.0173369863013699</c:v>
                </c:pt>
                <c:pt idx="113">
                  <c:v>0.0174904109589041</c:v>
                </c:pt>
                <c:pt idx="114">
                  <c:v>0.0176438356164385</c:v>
                </c:pt>
                <c:pt idx="115">
                  <c:v>0.0177972602739726</c:v>
                </c:pt>
                <c:pt idx="116">
                  <c:v>0.0179506849315068</c:v>
                </c:pt>
                <c:pt idx="117">
                  <c:v>0.0181041095890411</c:v>
                </c:pt>
                <c:pt idx="118">
                  <c:v>0.0182575342465753</c:v>
                </c:pt>
                <c:pt idx="119">
                  <c:v>0.0184109589041096</c:v>
                </c:pt>
                <c:pt idx="120">
                  <c:v>0.0185643835616438</c:v>
                </c:pt>
                <c:pt idx="121">
                  <c:v>0.0187178082191781</c:v>
                </c:pt>
                <c:pt idx="122">
                  <c:v>0.0188712328767123</c:v>
                </c:pt>
                <c:pt idx="123">
                  <c:v>0.0190246575342466</c:v>
                </c:pt>
                <c:pt idx="124">
                  <c:v>0.0191780821917808</c:v>
                </c:pt>
                <c:pt idx="125">
                  <c:v>0.0193315068493152</c:v>
                </c:pt>
                <c:pt idx="126">
                  <c:v>0.0194849315068493</c:v>
                </c:pt>
                <c:pt idx="127">
                  <c:v>0.0196383561643836</c:v>
                </c:pt>
                <c:pt idx="128">
                  <c:v>0.0197917808219178</c:v>
                </c:pt>
                <c:pt idx="129">
                  <c:v>0.0199452054794521</c:v>
                </c:pt>
                <c:pt idx="130">
                  <c:v>0.0200986301369863</c:v>
                </c:pt>
                <c:pt idx="131">
                  <c:v>0.0202520547945205</c:v>
                </c:pt>
                <c:pt idx="132">
                  <c:v>0.0204054794520548</c:v>
                </c:pt>
                <c:pt idx="133">
                  <c:v>0.020558904109589</c:v>
                </c:pt>
                <c:pt idx="134">
                  <c:v>0.0207123287671234</c:v>
                </c:pt>
                <c:pt idx="135">
                  <c:v>0.0208657534246575</c:v>
                </c:pt>
                <c:pt idx="136">
                  <c:v>0.0210191780821918</c:v>
                </c:pt>
                <c:pt idx="137">
                  <c:v>0.021172602739726</c:v>
                </c:pt>
                <c:pt idx="138">
                  <c:v>0.0213260273972603</c:v>
                </c:pt>
                <c:pt idx="139">
                  <c:v>0.0214794520547946</c:v>
                </c:pt>
                <c:pt idx="140">
                  <c:v>0.0216328767123289</c:v>
                </c:pt>
                <c:pt idx="141">
                  <c:v>0.021786301369863</c:v>
                </c:pt>
                <c:pt idx="142">
                  <c:v>0.0219397260273973</c:v>
                </c:pt>
                <c:pt idx="143">
                  <c:v>0.0220931506849316</c:v>
                </c:pt>
                <c:pt idx="144">
                  <c:v>0.0222465753424658</c:v>
                </c:pt>
                <c:pt idx="145">
                  <c:v>0.0224</c:v>
                </c:pt>
                <c:pt idx="146">
                  <c:v>0.0225534246575342</c:v>
                </c:pt>
                <c:pt idx="147">
                  <c:v>0.0227068493150685</c:v>
                </c:pt>
                <c:pt idx="148">
                  <c:v>0.0228602739726027</c:v>
                </c:pt>
                <c:pt idx="149">
                  <c:v>0.023013698630137</c:v>
                </c:pt>
                <c:pt idx="150">
                  <c:v>0.0231671232876712</c:v>
                </c:pt>
                <c:pt idx="151">
                  <c:v>0.0233205479452055</c:v>
                </c:pt>
                <c:pt idx="152">
                  <c:v>0.0234739726027398</c:v>
                </c:pt>
                <c:pt idx="153">
                  <c:v>0.0236273972602741</c:v>
                </c:pt>
                <c:pt idx="154">
                  <c:v>0.0237808219178082</c:v>
                </c:pt>
                <c:pt idx="155">
                  <c:v>0.0239342465753425</c:v>
                </c:pt>
                <c:pt idx="156">
                  <c:v>0.0240876712328767</c:v>
                </c:pt>
                <c:pt idx="157">
                  <c:v>0.024241095890411</c:v>
                </c:pt>
                <c:pt idx="158">
                  <c:v>0.0243945205479452</c:v>
                </c:pt>
                <c:pt idx="159">
                  <c:v>0.0245479452054796</c:v>
                </c:pt>
                <c:pt idx="160">
                  <c:v>0.0247013698630138</c:v>
                </c:pt>
                <c:pt idx="161">
                  <c:v>0.0248547945205479</c:v>
                </c:pt>
                <c:pt idx="162">
                  <c:v>0.0250082191780822</c:v>
                </c:pt>
                <c:pt idx="163">
                  <c:v>0.0251616438356164</c:v>
                </c:pt>
                <c:pt idx="164">
                  <c:v>0.0253150684931507</c:v>
                </c:pt>
                <c:pt idx="165">
                  <c:v>0.0254684931506849</c:v>
                </c:pt>
                <c:pt idx="166">
                  <c:v>0.0256219178082193</c:v>
                </c:pt>
                <c:pt idx="167">
                  <c:v>0.0257753424657535</c:v>
                </c:pt>
                <c:pt idx="168">
                  <c:v>0.0259287671232877</c:v>
                </c:pt>
                <c:pt idx="169">
                  <c:v>0.026082191780822</c:v>
                </c:pt>
                <c:pt idx="170">
                  <c:v>0.0262356164383563</c:v>
                </c:pt>
                <c:pt idx="171">
                  <c:v>0.0263890410958904</c:v>
                </c:pt>
                <c:pt idx="172">
                  <c:v>0.0265424657534248</c:v>
                </c:pt>
                <c:pt idx="173">
                  <c:v>0.026695890410959</c:v>
                </c:pt>
                <c:pt idx="174">
                  <c:v>0.0268493150684932</c:v>
                </c:pt>
                <c:pt idx="175">
                  <c:v>0.0270027397260275</c:v>
                </c:pt>
                <c:pt idx="176">
                  <c:v>0.0271561643835616</c:v>
                </c:pt>
                <c:pt idx="177">
                  <c:v>0.0273095890410959</c:v>
                </c:pt>
                <c:pt idx="178">
                  <c:v>0.0274630136986302</c:v>
                </c:pt>
                <c:pt idx="179">
                  <c:v>0.0276164383561644</c:v>
                </c:pt>
                <c:pt idx="180">
                  <c:v>0.0277698630136986</c:v>
                </c:pt>
                <c:pt idx="181">
                  <c:v>0.0279232876712329</c:v>
                </c:pt>
                <c:pt idx="182">
                  <c:v>0.0280767123287672</c:v>
                </c:pt>
                <c:pt idx="183">
                  <c:v>0.0282301369863014</c:v>
                </c:pt>
                <c:pt idx="184">
                  <c:v>0.0283835616438356</c:v>
                </c:pt>
                <c:pt idx="185">
                  <c:v>0.0285369863013699</c:v>
                </c:pt>
                <c:pt idx="186">
                  <c:v>0.0286904109589041</c:v>
                </c:pt>
                <c:pt idx="187">
                  <c:v>0.0288438356164384</c:v>
                </c:pt>
                <c:pt idx="188">
                  <c:v>0.0289972602739726</c:v>
                </c:pt>
                <c:pt idx="189">
                  <c:v>0.0291506849315068</c:v>
                </c:pt>
                <c:pt idx="190">
                  <c:v>0.0293041095890411</c:v>
                </c:pt>
                <c:pt idx="191">
                  <c:v>0.0294575342465753</c:v>
                </c:pt>
                <c:pt idx="192">
                  <c:v>0.0296109589041096</c:v>
                </c:pt>
                <c:pt idx="193">
                  <c:v>0.0297643835616438</c:v>
                </c:pt>
                <c:pt idx="194">
                  <c:v>0.0299178082191781</c:v>
                </c:pt>
                <c:pt idx="195">
                  <c:v>0.0300712328767124</c:v>
                </c:pt>
                <c:pt idx="196">
                  <c:v>0.0302246575342466</c:v>
                </c:pt>
                <c:pt idx="197">
                  <c:v>0.0303780821917808</c:v>
                </c:pt>
                <c:pt idx="198">
                  <c:v>0.0305315068493151</c:v>
                </c:pt>
                <c:pt idx="199">
                  <c:v>0.0306849315068494</c:v>
                </c:pt>
                <c:pt idx="200">
                  <c:v>0.0308383561643836</c:v>
                </c:pt>
                <c:pt idx="201">
                  <c:v>0.0309917808219178</c:v>
                </c:pt>
                <c:pt idx="202">
                  <c:v>0.0311452054794521</c:v>
                </c:pt>
                <c:pt idx="203">
                  <c:v>0.0312986301369863</c:v>
                </c:pt>
                <c:pt idx="204">
                  <c:v>0.0314520547945205</c:v>
                </c:pt>
                <c:pt idx="205">
                  <c:v>0.0316054794520549</c:v>
                </c:pt>
                <c:pt idx="206">
                  <c:v>0.031758904109589</c:v>
                </c:pt>
                <c:pt idx="207">
                  <c:v>0.0319123287671234</c:v>
                </c:pt>
                <c:pt idx="208">
                  <c:v>0.0320657534246576</c:v>
                </c:pt>
                <c:pt idx="209">
                  <c:v>0.0322191780821919</c:v>
                </c:pt>
                <c:pt idx="210">
                  <c:v>0.0323726027397261</c:v>
                </c:pt>
                <c:pt idx="211">
                  <c:v>0.0325260273972603</c:v>
                </c:pt>
                <c:pt idx="212">
                  <c:v>0.0326794520547946</c:v>
                </c:pt>
                <c:pt idx="213">
                  <c:v>0.0328328767123289</c:v>
                </c:pt>
                <c:pt idx="214">
                  <c:v>0.032986301369863</c:v>
                </c:pt>
                <c:pt idx="215">
                  <c:v>0.0331397260273973</c:v>
                </c:pt>
                <c:pt idx="216">
                  <c:v>0.0332931506849315</c:v>
                </c:pt>
                <c:pt idx="217">
                  <c:v>0.0334465753424657</c:v>
                </c:pt>
                <c:pt idx="218">
                  <c:v>0.0336</c:v>
                </c:pt>
                <c:pt idx="219">
                  <c:v>0.0337534246575342</c:v>
                </c:pt>
                <c:pt idx="220">
                  <c:v>0.0339068493150685</c:v>
                </c:pt>
                <c:pt idx="221">
                  <c:v>0.0340602739726027</c:v>
                </c:pt>
                <c:pt idx="222">
                  <c:v>0.034213698630137</c:v>
                </c:pt>
                <c:pt idx="223">
                  <c:v>0.0343671232876712</c:v>
                </c:pt>
                <c:pt idx="224">
                  <c:v>0.0345205479452055</c:v>
                </c:pt>
                <c:pt idx="225">
                  <c:v>0.0346739726027398</c:v>
                </c:pt>
                <c:pt idx="226">
                  <c:v>0.0348273972602741</c:v>
                </c:pt>
                <c:pt idx="227">
                  <c:v>0.0349808219178082</c:v>
                </c:pt>
                <c:pt idx="228">
                  <c:v>0.0351342465753426</c:v>
                </c:pt>
                <c:pt idx="229">
                  <c:v>0.0352876712328767</c:v>
                </c:pt>
                <c:pt idx="230">
                  <c:v>0.035441095890411</c:v>
                </c:pt>
                <c:pt idx="231">
                  <c:v>0.0355945205479452</c:v>
                </c:pt>
                <c:pt idx="232">
                  <c:v>0.0357479452054795</c:v>
                </c:pt>
                <c:pt idx="233">
                  <c:v>0.0359013698630138</c:v>
                </c:pt>
                <c:pt idx="234">
                  <c:v>0.0360547945205479</c:v>
                </c:pt>
                <c:pt idx="235">
                  <c:v>0.0362082191780822</c:v>
                </c:pt>
                <c:pt idx="236">
                  <c:v>0.0363616438356164</c:v>
                </c:pt>
                <c:pt idx="237">
                  <c:v>0.0365150684931508</c:v>
                </c:pt>
                <c:pt idx="238">
                  <c:v>0.0366684931506849</c:v>
                </c:pt>
                <c:pt idx="239">
                  <c:v>0.0368219178082193</c:v>
                </c:pt>
                <c:pt idx="240">
                  <c:v>0.0369753424657535</c:v>
                </c:pt>
                <c:pt idx="241">
                  <c:v>0.0371287671232877</c:v>
                </c:pt>
                <c:pt idx="242">
                  <c:v>0.037282191780822</c:v>
                </c:pt>
                <c:pt idx="243">
                  <c:v>0.0374356164383563</c:v>
                </c:pt>
                <c:pt idx="244">
                  <c:v>0.0375890410958904</c:v>
                </c:pt>
                <c:pt idx="245">
                  <c:v>0.0377424657534248</c:v>
                </c:pt>
              </c:numCache>
            </c:numRef>
          </c:val>
          <c:smooth val="0"/>
        </c:ser>
        <c:dLbls>
          <c:showLegendKey val="0"/>
          <c:showVal val="0"/>
          <c:showCatName val="0"/>
          <c:showSerName val="0"/>
          <c:showPercent val="0"/>
          <c:showBubbleSize val="0"/>
        </c:dLbls>
        <c:marker val="0"/>
        <c:smooth val="0"/>
        <c:axId val="83996032"/>
        <c:axId val="101196928"/>
      </c:lineChart>
      <c:dateAx>
        <c:axId val="83996032"/>
        <c:scaling>
          <c:orientation val="minMax"/>
        </c:scaling>
        <c:delete val="0"/>
        <c:axPos val="b"/>
        <c:numFmt formatCode="m\/d\/yyyy" sourceLinked="1"/>
        <c:majorTickMark val="out"/>
        <c:minorTickMark val="none"/>
        <c:tickLblPos val="nextTo"/>
        <c:spPr>
          <a:noFill/>
          <a:ln w="9525" cap="flat" cmpd="sng" algn="ctr">
            <a:solidFill>
              <a:schemeClr val="tx1">
                <a:lumMod val="15000"/>
                <a:lumOff val="85000"/>
              </a:schemeClr>
            </a:solid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01196928"/>
        <c:crosses val="autoZero"/>
        <c:auto val="1"/>
        <c:lblOffset val="100"/>
        <c:baseTimeUnit val="days"/>
        <c:majorUnit val="1"/>
        <c:majorTimeUnit val="months"/>
      </c:dateAx>
      <c:valAx>
        <c:axId val="101196928"/>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out"/>
        <c:minorTickMark val="none"/>
        <c:tickLblPos val="nextTo"/>
        <c:spPr>
          <a:noFill/>
          <a:ln w="9525" cap="flat" cmpd="sng" algn="ctr">
            <a:no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83996032"/>
        <c:crosses val="autoZero"/>
        <c:crossBetween val="between"/>
      </c:valAx>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黑体"/>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822250B-740E-4AF7-8254-9B0697E95817}">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9</Pages>
  <Words>700</Words>
  <Characters>3995</Characters>
  <Lines>33</Lines>
  <Paragraphs>9</Paragraphs>
  <TotalTime>261</TotalTime>
  <ScaleCrop>false</ScaleCrop>
  <LinksUpToDate>false</LinksUpToDate>
  <CharactersWithSpaces>4686</CharactersWithSpaces>
  <Application>WPS Office_11.1.0.9999_F1E327BC-269C-435d-A152-05C5408002CA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2020-03-06T01:21:00Z</dcterms:created>
  <dc:creator>gynsh</dc:creator>
  <cp:lastModifiedBy>陈菲（OA）</cp:lastModifiedBy>
  <cp:lastPrinted>2019-10-15T07:44:00Z</cp:lastPrinted>
  <dcterms:modified xsi:type="dcterms:W3CDTF">2022-04-18T02:54:39Z</dcterms:modified>
  <cp:revision>74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enerator">
    <vt:lpwstr>NPOI</vt:lpwstr>
  </property>
  <property fmtid="{D5CDD505-2E9C-101B-9397-08002B2CF9AE}" pid="3" name="Generator Version">
    <vt:lpwstr>2.2.1</vt:lpwstr>
  </property>
  <property fmtid="{D5CDD505-2E9C-101B-9397-08002B2CF9AE}" pid="4" name="KSOProductBuildVer">
    <vt:lpwstr>2052-11.1.0.9999</vt:lpwstr>
  </property>
</Properties>
</file>