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2022年09月06日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221,840,000.00份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224,325,304.51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2022年09月06日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2023年09月06日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贵阳农村商业银行股份有限公司-超值宝1年155期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851900159610797</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2022年09月06日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744,112.70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2,485,304.51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224,325,304.51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2022年09月06日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1.12</w:t>
            </w:r>
          </w:p>
        </w:tc>
        <w:tc>
          <w:tcPr>
            <w:tcW w:w="1843" w:type="dxa"/>
            <w:vAlign w:val="center"/>
          </w:tcPr>
          <w:p>
            <w:pPr>
              <w:jc w:val="right"/>
              <w:rPr>
                <w:rFonts w:ascii="宋体" w:hAnsi="宋体"/>
                <w:color w:val="auto"/>
              </w:rPr>
            </w:pPr>
            <w:r>
              <w:rPr>
                <w:rFonts w:ascii="宋体" w:hAnsi="宋体"/>
                <w:color w:val="auto"/>
              </w:rPr>
              <w:t>1.44</w:t>
            </w:r>
          </w:p>
        </w:tc>
        <w:tc>
          <w:tcPr>
            <w:tcW w:w="1843" w:type="dxa"/>
            <w:vAlign w:val="center"/>
          </w:tcPr>
          <w:p>
            <w:pPr>
              <w:jc w:val="right"/>
              <w:rPr>
                <w:rFonts w:ascii="宋体" w:hAnsi="宋体"/>
                <w:color w:val="auto"/>
              </w:rPr>
            </w:pPr>
            <w:r>
              <w:rPr>
                <w:rFonts w:ascii="宋体" w:hAnsi="宋体"/>
                <w:color w:val="auto"/>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1.12</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1.44</w:t>
            </w:r>
          </w:p>
        </w:tc>
        <w:tc>
          <w:tcPr>
            <w:tcW w:w="1843" w:type="dxa"/>
            <w:vAlign w:val="center"/>
          </w:tcPr>
          <w:p>
            <w:pPr>
              <w:jc w:val="right"/>
              <w:rPr>
                <w:rFonts w:ascii="宋体" w:hAnsi="宋体"/>
                <w:color w:val="auto"/>
              </w:rPr>
            </w:pPr>
            <w:r>
              <w:rPr>
                <w:rFonts w:ascii="宋体" w:hAnsi="宋体"/>
                <w:color w:val="auto"/>
              </w:rPr>
              <w:t>1.67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12136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2136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1.12%</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63,654,510.25</w:t>
            </w:r>
          </w:p>
        </w:tc>
        <w:tc>
          <w:tcPr>
            <w:tcW w:w="2069" w:type="dxa"/>
            <w:shd w:val="clear" w:color="auto" w:fill="auto"/>
          </w:tcPr>
          <w:p>
            <w:pPr>
              <w:jc w:val="right"/>
              <w:rPr>
                <w:rFonts w:ascii="宋体"/>
                <w:color w:val="auto"/>
                <w:szCs w:val="21"/>
              </w:rPr>
            </w:pPr>
            <w:r>
              <w:rPr>
                <w:color w:val="auto"/>
              </w:rPr>
              <w:t>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62,427,610.83</w:t>
            </w:r>
          </w:p>
        </w:tc>
        <w:tc>
          <w:tcPr>
            <w:tcW w:w="2069" w:type="dxa"/>
            <w:shd w:val="clear" w:color="auto" w:fill="auto"/>
          </w:tcPr>
          <w:p>
            <w:pPr>
              <w:jc w:val="right"/>
              <w:rPr>
                <w:rFonts w:ascii="宋体"/>
                <w:color w:val="auto"/>
                <w:szCs w:val="21"/>
              </w:rPr>
            </w:pPr>
            <w:r>
              <w:rPr>
                <w:color w:val="auto"/>
              </w:rPr>
              <w:t>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50,552,198.84</w:t>
            </w:r>
          </w:p>
        </w:tc>
        <w:tc>
          <w:tcPr>
            <w:tcW w:w="2069" w:type="dxa"/>
            <w:shd w:val="clear" w:color="auto" w:fill="auto"/>
          </w:tcPr>
          <w:p>
            <w:pPr>
              <w:jc w:val="right"/>
              <w:rPr>
                <w:rFonts w:ascii="宋体"/>
                <w:color w:val="auto"/>
                <w:szCs w:val="21"/>
              </w:rPr>
            </w:pPr>
            <w:r>
              <w:rPr>
                <w:color w:val="auto"/>
              </w:rPr>
              <w:t>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48,113,950.17</w:t>
            </w:r>
          </w:p>
        </w:tc>
        <w:tc>
          <w:tcPr>
            <w:tcW w:w="2069" w:type="dxa"/>
            <w:shd w:val="clear" w:color="auto" w:fill="auto"/>
          </w:tcPr>
          <w:p>
            <w:pPr>
              <w:jc w:val="right"/>
              <w:rPr>
                <w:rFonts w:ascii="宋体"/>
                <w:color w:val="auto"/>
                <w:szCs w:val="21"/>
              </w:rPr>
            </w:pPr>
            <w:r>
              <w:rPr>
                <w:color w:val="auto"/>
              </w:rPr>
              <w:t>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224,748,270.09</w:t>
            </w:r>
          </w:p>
        </w:tc>
        <w:tc>
          <w:tcPr>
            <w:tcW w:w="2069" w:type="dxa"/>
            <w:shd w:val="clear" w:color="auto" w:fill="auto"/>
          </w:tcPr>
          <w:p>
            <w:pPr>
              <w:jc w:val="right"/>
              <w:rPr>
                <w:rFonts w:ascii="宋体"/>
                <w:color w:val="auto"/>
                <w:szCs w:val="21"/>
              </w:rPr>
            </w:pPr>
            <w:r>
              <w:rPr>
                <w:color w:val="auto"/>
              </w:rPr>
              <w:t>99.99</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16,987.02</w:t>
            </w:r>
          </w:p>
        </w:tc>
        <w:tc>
          <w:tcPr>
            <w:tcW w:w="2127" w:type="dxa"/>
            <w:shd w:val="clear" w:color="auto" w:fill="auto"/>
            <w:vAlign w:val="center"/>
          </w:tcPr>
          <w:p>
            <w:pPr>
              <w:jc w:val="right"/>
              <w:rPr>
                <w:rFonts w:ascii="宋体" w:hAnsi="宋体"/>
                <w:color w:val="auto"/>
              </w:rPr>
            </w:pPr>
            <w:r>
              <w:rPr>
                <w:rFonts w:hint="eastAsia" w:ascii="宋体" w:hAnsi="宋体"/>
                <w:color w:val="auto"/>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224,748,270.09</w:t>
            </w:r>
          </w:p>
        </w:tc>
        <w:tc>
          <w:tcPr>
            <w:tcW w:w="2127" w:type="dxa"/>
            <w:shd w:val="clear" w:color="auto" w:fill="auto"/>
            <w:vAlign w:val="center"/>
          </w:tcPr>
          <w:p>
            <w:pPr>
              <w:jc w:val="right"/>
              <w:rPr>
                <w:rFonts w:ascii="宋体" w:hAnsi="宋体"/>
                <w:color w:val="auto"/>
              </w:rPr>
            </w:pPr>
            <w:r>
              <w:rPr>
                <w:rFonts w:hint="eastAsia" w:ascii="宋体" w:hAnsi="宋体"/>
                <w:color w:val="auto"/>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224,765,257.11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191,512,284.57</w:t>
            </w:r>
          </w:p>
        </w:tc>
        <w:tc>
          <w:tcPr>
            <w:tcW w:w="2127" w:type="dxa"/>
            <w:shd w:val="clear" w:color="auto" w:fill="auto"/>
            <w:vAlign w:val="center"/>
          </w:tcPr>
          <w:p>
            <w:pPr>
              <w:jc w:val="right"/>
              <w:rPr>
                <w:rFonts w:ascii="宋体" w:hAnsi="宋体"/>
                <w:color w:val="auto"/>
              </w:rPr>
            </w:pPr>
            <w:r>
              <w:rPr>
                <w:rFonts w:hint="eastAsia" w:ascii="宋体" w:hAnsi="宋体"/>
                <w:color w:val="auto"/>
              </w:rPr>
              <w:t>85.21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191,512,284.57</w:t>
            </w:r>
          </w:p>
        </w:tc>
        <w:tc>
          <w:tcPr>
            <w:tcW w:w="2127" w:type="dxa"/>
            <w:shd w:val="clear" w:color="auto" w:fill="auto"/>
            <w:vAlign w:val="center"/>
          </w:tcPr>
          <w:p>
            <w:pPr>
              <w:jc w:val="right"/>
              <w:rPr>
                <w:rFonts w:ascii="宋体" w:hAnsi="宋体"/>
                <w:color w:val="auto"/>
              </w:rPr>
            </w:pPr>
            <w:r>
              <w:rPr>
                <w:rFonts w:hint="eastAsia" w:ascii="宋体" w:hAnsi="宋体"/>
                <w:color w:val="auto"/>
              </w:rPr>
              <w:t>85.21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28,376,356.69</w:t>
            </w:r>
          </w:p>
        </w:tc>
        <w:tc>
          <w:tcPr>
            <w:tcW w:w="2127" w:type="dxa"/>
            <w:shd w:val="clear" w:color="auto" w:fill="auto"/>
            <w:vAlign w:val="center"/>
          </w:tcPr>
          <w:p>
            <w:pPr>
              <w:jc w:val="right"/>
              <w:rPr>
                <w:rFonts w:ascii="宋体" w:hAnsi="宋体"/>
                <w:color w:val="auto"/>
              </w:rPr>
            </w:pPr>
            <w:r>
              <w:rPr>
                <w:rFonts w:hint="eastAsia" w:ascii="宋体" w:hAnsi="宋体"/>
                <w:color w:val="auto"/>
              </w:rPr>
              <w:t>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5,069,384.24</w:t>
            </w:r>
          </w:p>
        </w:tc>
        <w:tc>
          <w:tcPr>
            <w:tcW w:w="2127" w:type="dxa"/>
            <w:shd w:val="clear" w:color="auto" w:fill="auto"/>
            <w:vAlign w:val="center"/>
          </w:tcPr>
          <w:p>
            <w:pPr>
              <w:jc w:val="right"/>
              <w:rPr>
                <w:rFonts w:ascii="宋体" w:hAnsi="宋体"/>
                <w:color w:val="auto"/>
              </w:rPr>
            </w:pPr>
            <w:r>
              <w:rPr>
                <w:rFonts w:hint="eastAsia" w:ascii="宋体" w:hAnsi="宋体"/>
                <w:color w:val="auto"/>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6,330.01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224,964,355.51</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28,376,356.69</w:t>
            </w:r>
          </w:p>
        </w:tc>
        <w:tc>
          <w:tcPr>
            <w:tcW w:w="2046" w:type="dxa"/>
            <w:shd w:val="clear" w:color="auto" w:fill="auto"/>
          </w:tcPr>
          <w:p>
            <w:pPr>
              <w:jc w:val="right"/>
              <w:rPr>
                <w:rFonts w:ascii="宋体"/>
                <w:color w:val="auto"/>
                <w:szCs w:val="21"/>
              </w:rPr>
            </w:pPr>
            <w:r>
              <w:rPr>
                <w:color w:val="auto"/>
              </w:rPr>
              <w:t>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11,991,087.71</w:t>
            </w:r>
          </w:p>
        </w:tc>
        <w:tc>
          <w:tcPr>
            <w:tcW w:w="2046" w:type="dxa"/>
            <w:shd w:val="clear" w:color="auto" w:fill="auto"/>
          </w:tcPr>
          <w:p>
            <w:pPr>
              <w:jc w:val="right"/>
              <w:rPr>
                <w:rFonts w:ascii="宋体"/>
                <w:color w:val="auto"/>
                <w:szCs w:val="21"/>
              </w:rPr>
            </w:pPr>
            <w:r>
              <w:rPr>
                <w:color w:val="auto"/>
              </w:rP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21哈尔滨银行永续债02</w:t>
            </w:r>
          </w:p>
        </w:tc>
        <w:tc>
          <w:tcPr>
            <w:tcW w:w="2006" w:type="dxa"/>
            <w:shd w:val="clear" w:color="auto" w:fill="auto"/>
          </w:tcPr>
          <w:p>
            <w:pPr>
              <w:jc w:val="right"/>
              <w:rPr>
                <w:rFonts w:ascii="宋体"/>
                <w:color w:val="auto"/>
                <w:szCs w:val="21"/>
              </w:rPr>
            </w:pPr>
            <w:r>
              <w:rPr>
                <w:color w:val="auto"/>
              </w:rPr>
              <w:t>8,515,888.23</w:t>
            </w:r>
          </w:p>
        </w:tc>
        <w:tc>
          <w:tcPr>
            <w:tcW w:w="2046" w:type="dxa"/>
            <w:shd w:val="clear" w:color="auto" w:fill="auto"/>
          </w:tcPr>
          <w:p>
            <w:pPr>
              <w:jc w:val="right"/>
              <w:rPr>
                <w:rFonts w:ascii="宋体"/>
                <w:color w:val="auto"/>
                <w:szCs w:val="21"/>
              </w:rPr>
            </w:pPr>
            <w:r>
              <w:rPr>
                <w:color w:val="auto"/>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18铜管廊</w:t>
            </w:r>
          </w:p>
        </w:tc>
        <w:tc>
          <w:tcPr>
            <w:tcW w:w="2006" w:type="dxa"/>
            <w:shd w:val="clear" w:color="auto" w:fill="auto"/>
          </w:tcPr>
          <w:p>
            <w:pPr>
              <w:jc w:val="right"/>
              <w:rPr>
                <w:rFonts w:ascii="宋体"/>
                <w:color w:val="auto"/>
                <w:szCs w:val="21"/>
              </w:rPr>
            </w:pPr>
            <w:r>
              <w:rPr>
                <w:color w:val="auto"/>
              </w:rPr>
              <w:t>6,901,586.06</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20贵安G1</w:t>
            </w:r>
          </w:p>
        </w:tc>
        <w:tc>
          <w:tcPr>
            <w:tcW w:w="2006" w:type="dxa"/>
            <w:shd w:val="clear" w:color="auto" w:fill="auto"/>
          </w:tcPr>
          <w:p>
            <w:pPr>
              <w:jc w:val="right"/>
              <w:rPr>
                <w:rFonts w:ascii="宋体"/>
                <w:color w:val="auto"/>
                <w:szCs w:val="21"/>
              </w:rPr>
            </w:pPr>
            <w:r>
              <w:rPr>
                <w:color w:val="auto"/>
              </w:rPr>
              <w:t>6,497,259.53</w:t>
            </w:r>
          </w:p>
        </w:tc>
        <w:tc>
          <w:tcPr>
            <w:tcW w:w="2046" w:type="dxa"/>
            <w:shd w:val="clear" w:color="auto" w:fill="auto"/>
          </w:tcPr>
          <w:p>
            <w:pPr>
              <w:jc w:val="right"/>
              <w:rPr>
                <w:rFonts w:ascii="宋体"/>
                <w:color w:val="auto"/>
                <w:szCs w:val="21"/>
              </w:rPr>
            </w:pPr>
            <w:r>
              <w:rPr>
                <w:color w:val="auto"/>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20贵控01</w:t>
            </w:r>
          </w:p>
        </w:tc>
        <w:tc>
          <w:tcPr>
            <w:tcW w:w="2006" w:type="dxa"/>
            <w:shd w:val="clear" w:color="auto" w:fill="auto"/>
          </w:tcPr>
          <w:p>
            <w:pPr>
              <w:jc w:val="right"/>
              <w:rPr>
                <w:rFonts w:ascii="宋体"/>
                <w:color w:val="auto"/>
                <w:szCs w:val="21"/>
              </w:rPr>
            </w:pPr>
            <w:r>
              <w:rPr>
                <w:color w:val="auto"/>
              </w:rPr>
              <w:t>5,752,640.18</w:t>
            </w:r>
          </w:p>
        </w:tc>
        <w:tc>
          <w:tcPr>
            <w:tcW w:w="2046" w:type="dxa"/>
            <w:shd w:val="clear" w:color="auto" w:fill="auto"/>
          </w:tcPr>
          <w:p>
            <w:pPr>
              <w:jc w:val="right"/>
              <w:rPr>
                <w:rFonts w:ascii="宋体"/>
                <w:color w:val="auto"/>
                <w:szCs w:val="21"/>
              </w:rPr>
            </w:pPr>
            <w:r>
              <w:rPr>
                <w:color w:val="auto"/>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5,594,622.97</w:t>
            </w:r>
          </w:p>
        </w:tc>
        <w:tc>
          <w:tcPr>
            <w:tcW w:w="2046" w:type="dxa"/>
            <w:shd w:val="clear" w:color="auto" w:fill="auto"/>
          </w:tcPr>
          <w:p>
            <w:pPr>
              <w:jc w:val="right"/>
              <w:rPr>
                <w:rFonts w:ascii="宋体"/>
                <w:color w:val="auto"/>
                <w:szCs w:val="21"/>
              </w:rPr>
            </w:pPr>
            <w:r>
              <w:rPr>
                <w:color w:val="auto"/>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5,105,764.79</w:t>
            </w:r>
          </w:p>
        </w:tc>
        <w:tc>
          <w:tcPr>
            <w:tcW w:w="2046" w:type="dxa"/>
            <w:shd w:val="clear" w:color="auto" w:fill="auto"/>
          </w:tcPr>
          <w:p>
            <w:pPr>
              <w:jc w:val="right"/>
              <w:rPr>
                <w:rFonts w:ascii="宋体"/>
                <w:color w:val="auto"/>
                <w:szCs w:val="21"/>
              </w:rPr>
            </w:pPr>
            <w:r>
              <w:rPr>
                <w:color w:val="auto"/>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19宏财专项债02</w:t>
            </w:r>
          </w:p>
        </w:tc>
        <w:tc>
          <w:tcPr>
            <w:tcW w:w="2006" w:type="dxa"/>
            <w:shd w:val="clear" w:color="auto" w:fill="auto"/>
          </w:tcPr>
          <w:p>
            <w:pPr>
              <w:jc w:val="right"/>
              <w:rPr>
                <w:rFonts w:ascii="宋体"/>
                <w:color w:val="auto"/>
                <w:szCs w:val="21"/>
              </w:rPr>
            </w:pPr>
            <w:r>
              <w:rPr>
                <w:color w:val="auto"/>
              </w:rPr>
              <w:t>5,060,219.88</w:t>
            </w:r>
          </w:p>
        </w:tc>
        <w:tc>
          <w:tcPr>
            <w:tcW w:w="2046" w:type="dxa"/>
            <w:shd w:val="clear" w:color="auto" w:fill="auto"/>
          </w:tcPr>
          <w:p>
            <w:pPr>
              <w:jc w:val="right"/>
              <w:rPr>
                <w:rFonts w:ascii="宋体"/>
                <w:color w:val="auto"/>
                <w:szCs w:val="21"/>
              </w:rPr>
            </w:pPr>
            <w:r>
              <w:rPr>
                <w:color w:val="auto"/>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20兴安债</w:t>
            </w:r>
          </w:p>
        </w:tc>
        <w:tc>
          <w:tcPr>
            <w:tcW w:w="2006" w:type="dxa"/>
            <w:shd w:val="clear" w:color="auto" w:fill="auto"/>
          </w:tcPr>
          <w:p>
            <w:pPr>
              <w:jc w:val="right"/>
              <w:rPr>
                <w:rFonts w:ascii="宋体"/>
                <w:color w:val="auto"/>
                <w:szCs w:val="21"/>
              </w:rPr>
            </w:pPr>
            <w:r>
              <w:rPr>
                <w:color w:val="auto"/>
              </w:rPr>
              <w:t>5,056,102.70</w:t>
            </w:r>
          </w:p>
        </w:tc>
        <w:tc>
          <w:tcPr>
            <w:tcW w:w="2046" w:type="dxa"/>
            <w:shd w:val="clear" w:color="auto" w:fill="auto"/>
          </w:tcPr>
          <w:p>
            <w:pPr>
              <w:jc w:val="right"/>
              <w:rPr>
                <w:rFonts w:ascii="宋体"/>
                <w:color w:val="auto"/>
                <w:szCs w:val="21"/>
              </w:rPr>
            </w:pPr>
            <w:r>
              <w:rPr>
                <w:color w:val="auto"/>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88,851,528.75</w:t>
            </w:r>
          </w:p>
        </w:tc>
        <w:tc>
          <w:tcPr>
            <w:tcW w:w="2046" w:type="dxa"/>
            <w:shd w:val="clear" w:color="auto" w:fill="auto"/>
          </w:tcPr>
          <w:p>
            <w:pPr>
              <w:jc w:val="right"/>
              <w:rPr>
                <w:rFonts w:ascii="宋体"/>
                <w:color w:val="auto"/>
                <w:szCs w:val="21"/>
              </w:rPr>
            </w:pPr>
            <w:r>
              <w:rPr>
                <w:color w:val="auto"/>
              </w:rPr>
              <w:t>39.53</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w:t>
      </w:r>
      <w:r>
        <w:rPr>
          <w:rFonts w:hint="eastAsia" w:ascii="宋体" w:hAnsi="宋体"/>
          <w:color w:val="auto"/>
          <w:szCs w:val="21"/>
          <w:lang w:val="en-US" w:eastAsia="zh-CN"/>
        </w:rPr>
        <w:t>月15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2Hb7Yxh9mTy2cezra6W7sHZYn3Q=" w:salt="ctGjPB6tisR/ar6QVypec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BFC3AAC"/>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2023-03-16T06:18:17Z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