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超值宝1年154期理财产品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2022年08月30日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101,153,219.87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2022年08月30日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贵阳农村商业银行股份有限公司-超值宝1年154期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851900159610493</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2022年08月30日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133,173.32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1,153,219.87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101,153,219.87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2022年08月30日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1.15</w:t>
            </w:r>
          </w:p>
        </w:tc>
        <w:tc>
          <w:tcPr>
            <w:tcW w:w="1843" w:type="dxa"/>
            <w:vAlign w:val="center"/>
          </w:tcPr>
          <w:p>
            <w:pPr>
              <w:jc w:val="right"/>
              <w:rPr>
                <w:rFonts w:ascii="宋体" w:hAnsi="宋体"/>
                <w:color w:val="auto"/>
              </w:rPr>
            </w:pPr>
            <w:r>
              <w:rPr>
                <w:rFonts w:ascii="宋体" w:hAnsi="宋体"/>
                <w:color w:val="auto"/>
              </w:rPr>
              <w:t>1.53</w:t>
            </w:r>
          </w:p>
        </w:tc>
        <w:tc>
          <w:tcPr>
            <w:tcW w:w="1843" w:type="dxa"/>
            <w:vAlign w:val="center"/>
          </w:tcPr>
          <w:p>
            <w:pPr>
              <w:jc w:val="right"/>
              <w:rPr>
                <w:rFonts w:ascii="宋体" w:hAnsi="宋体"/>
                <w:color w:val="auto"/>
              </w:rPr>
            </w:pPr>
            <w:r>
              <w:rPr>
                <w:rFonts w:ascii="宋体" w:hAnsi="宋体"/>
                <w:color w:val="auto"/>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1.15</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1.53</w:t>
            </w:r>
          </w:p>
        </w:tc>
        <w:tc>
          <w:tcPr>
            <w:tcW w:w="1843" w:type="dxa"/>
            <w:vAlign w:val="center"/>
          </w:tcPr>
          <w:p>
            <w:pPr>
              <w:jc w:val="right"/>
              <w:rPr>
                <w:rFonts w:ascii="宋体" w:hAnsi="宋体"/>
                <w:color w:val="auto"/>
              </w:rPr>
            </w:pPr>
            <w:r>
              <w:rPr>
                <w:rFonts w:ascii="宋体" w:hAnsi="宋体"/>
                <w:color w:val="auto"/>
              </w:rPr>
              <w:t>1.77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2013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2013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1.15%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48,888,185.82</w:t>
            </w:r>
          </w:p>
        </w:tc>
        <w:tc>
          <w:tcPr>
            <w:tcW w:w="2069" w:type="dxa"/>
            <w:shd w:val="clear" w:color="auto" w:fill="auto"/>
          </w:tcPr>
          <w:p>
            <w:pPr>
              <w:jc w:val="right"/>
              <w:rPr>
                <w:rFonts w:ascii="宋体"/>
                <w:color w:val="auto"/>
                <w:szCs w:val="21"/>
              </w:rPr>
            </w:pPr>
            <w:r>
              <w:rPr>
                <w:color w:val="auto"/>
              </w:rPr>
              <w:t>48.23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32,310,932.86</w:t>
            </w:r>
          </w:p>
        </w:tc>
        <w:tc>
          <w:tcPr>
            <w:tcW w:w="2069" w:type="dxa"/>
            <w:shd w:val="clear" w:color="auto" w:fill="auto"/>
          </w:tcPr>
          <w:p>
            <w:pPr>
              <w:jc w:val="right"/>
              <w:rPr>
                <w:rFonts w:ascii="宋体"/>
                <w:color w:val="auto"/>
                <w:szCs w:val="21"/>
              </w:rPr>
            </w:pPr>
            <w:r>
              <w:rPr>
                <w:color w:val="auto"/>
              </w:rPr>
              <w:t>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20,070,034.41</w:t>
            </w:r>
          </w:p>
        </w:tc>
        <w:tc>
          <w:tcPr>
            <w:tcW w:w="2069" w:type="dxa"/>
            <w:shd w:val="clear" w:color="auto" w:fill="auto"/>
          </w:tcPr>
          <w:p>
            <w:pPr>
              <w:jc w:val="right"/>
              <w:rPr>
                <w:rFonts w:ascii="宋体"/>
                <w:color w:val="auto"/>
                <w:szCs w:val="21"/>
              </w:rPr>
            </w:pPr>
            <w:r>
              <w:rPr>
                <w:color w:val="auto"/>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101,269,153.09</w:t>
            </w:r>
          </w:p>
        </w:tc>
        <w:tc>
          <w:tcPr>
            <w:tcW w:w="2069" w:type="dxa"/>
            <w:shd w:val="clear" w:color="auto" w:fill="auto"/>
          </w:tcPr>
          <w:p>
            <w:pPr>
              <w:jc w:val="right"/>
              <w:rPr>
                <w:rFonts w:ascii="宋体"/>
                <w:color w:val="auto"/>
                <w:szCs w:val="21"/>
              </w:rPr>
            </w:pPr>
            <w:r>
              <w:rPr>
                <w:color w:val="auto"/>
              </w:rPr>
              <w:t>99.91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94,393.86</w:t>
            </w:r>
          </w:p>
        </w:tc>
        <w:tc>
          <w:tcPr>
            <w:tcW w:w="2127" w:type="dxa"/>
            <w:shd w:val="clear" w:color="auto" w:fill="auto"/>
            <w:vAlign w:val="center"/>
          </w:tcPr>
          <w:p>
            <w:pPr>
              <w:jc w:val="right"/>
              <w:rPr>
                <w:rFonts w:ascii="宋体" w:hAnsi="宋体"/>
                <w:color w:val="auto"/>
              </w:rPr>
            </w:pPr>
            <w:r>
              <w:rPr>
                <w:rFonts w:hint="eastAsia" w:ascii="宋体" w:hAnsi="宋体"/>
                <w:color w:val="auto"/>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101,269,153.09</w:t>
            </w:r>
          </w:p>
        </w:tc>
        <w:tc>
          <w:tcPr>
            <w:tcW w:w="2127" w:type="dxa"/>
            <w:shd w:val="clear" w:color="auto" w:fill="auto"/>
            <w:vAlign w:val="center"/>
          </w:tcPr>
          <w:p>
            <w:pPr>
              <w:jc w:val="right"/>
              <w:rPr>
                <w:rFonts w:ascii="宋体" w:hAnsi="宋体"/>
                <w:color w:val="auto"/>
              </w:rPr>
            </w:pPr>
            <w:r>
              <w:rPr>
                <w:rFonts w:hint="eastAsia" w:ascii="宋体" w:hAnsi="宋体"/>
                <w:color w:val="auto"/>
              </w:rPr>
              <w:t>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101,363,546.95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83,325,523.46</w:t>
            </w:r>
          </w:p>
        </w:tc>
        <w:tc>
          <w:tcPr>
            <w:tcW w:w="2127" w:type="dxa"/>
            <w:shd w:val="clear" w:color="auto" w:fill="auto"/>
            <w:vAlign w:val="center"/>
          </w:tcPr>
          <w:p>
            <w:pPr>
              <w:jc w:val="right"/>
              <w:rPr>
                <w:rFonts w:ascii="宋体" w:hAnsi="宋体"/>
                <w:color w:val="auto"/>
              </w:rPr>
            </w:pPr>
            <w:r>
              <w:rPr>
                <w:rFonts w:hint="eastAsia" w:ascii="宋体" w:hAnsi="宋体"/>
                <w:color w:val="auto"/>
              </w:rPr>
              <w:t>82.20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83,325,523.46</w:t>
            </w:r>
          </w:p>
        </w:tc>
        <w:tc>
          <w:tcPr>
            <w:tcW w:w="2127" w:type="dxa"/>
            <w:shd w:val="clear" w:color="auto" w:fill="auto"/>
            <w:vAlign w:val="center"/>
          </w:tcPr>
          <w:p>
            <w:pPr>
              <w:jc w:val="right"/>
              <w:rPr>
                <w:rFonts w:ascii="宋体" w:hAnsi="宋体"/>
                <w:color w:val="auto"/>
              </w:rPr>
            </w:pPr>
            <w:r>
              <w:rPr>
                <w:rFonts w:hint="eastAsia" w:ascii="宋体" w:hAnsi="宋体"/>
                <w:color w:val="auto"/>
              </w:rPr>
              <w:t>82.20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15,476,467.36</w:t>
            </w:r>
          </w:p>
        </w:tc>
        <w:tc>
          <w:tcPr>
            <w:tcW w:w="2127" w:type="dxa"/>
            <w:shd w:val="clear" w:color="auto" w:fill="auto"/>
            <w:vAlign w:val="center"/>
          </w:tcPr>
          <w:p>
            <w:pPr>
              <w:jc w:val="right"/>
              <w:rPr>
                <w:rFonts w:ascii="宋体" w:hAnsi="宋体"/>
                <w:color w:val="auto"/>
              </w:rPr>
            </w:pPr>
            <w:r>
              <w:rPr>
                <w:rFonts w:hint="eastAsia" w:ascii="宋体" w:hAnsi="宋体"/>
                <w:color w:val="auto"/>
              </w:rPr>
              <w:t>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2,568,763.34</w:t>
            </w:r>
          </w:p>
        </w:tc>
        <w:tc>
          <w:tcPr>
            <w:tcW w:w="2127" w:type="dxa"/>
            <w:shd w:val="clear" w:color="auto" w:fill="auto"/>
            <w:vAlign w:val="center"/>
          </w:tcPr>
          <w:p>
            <w:pPr>
              <w:jc w:val="right"/>
              <w:rPr>
                <w:rFonts w:ascii="宋体" w:hAnsi="宋体"/>
                <w:color w:val="auto"/>
              </w:rPr>
            </w:pPr>
            <w:r>
              <w:rPr>
                <w:rFonts w:hint="eastAsia" w:ascii="宋体" w:hAnsi="宋体"/>
                <w:color w:val="auto"/>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1,811.82</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101,372,565.99</w:t>
            </w:r>
          </w:p>
        </w:tc>
        <w:tc>
          <w:tcPr>
            <w:tcW w:w="2127" w:type="dxa"/>
            <w:shd w:val="clear" w:color="auto" w:fill="auto"/>
          </w:tcPr>
          <w:p>
            <w:pPr>
              <w:jc w:val="right"/>
              <w:rPr>
                <w:rFonts w:ascii="宋体" w:hAnsi="宋体"/>
                <w:color w:val="auto"/>
              </w:rPr>
            </w:pPr>
            <w:r>
              <w:rPr>
                <w:rFonts w:hint="eastAsia" w:ascii="宋体" w:hAnsi="宋体"/>
                <w:color w:val="auto"/>
              </w:rPr>
              <w:t>100.01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15,476,467.36</w:t>
            </w:r>
          </w:p>
        </w:tc>
        <w:tc>
          <w:tcPr>
            <w:tcW w:w="2046" w:type="dxa"/>
            <w:shd w:val="clear" w:color="auto" w:fill="auto"/>
          </w:tcPr>
          <w:p>
            <w:pPr>
              <w:jc w:val="right"/>
              <w:rPr>
                <w:rFonts w:ascii="宋体"/>
                <w:color w:val="auto"/>
                <w:szCs w:val="21"/>
              </w:rPr>
            </w:pPr>
            <w:r>
              <w:rPr>
                <w:color w:val="auto"/>
              </w:rPr>
              <w:t>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20遵旅02</w:t>
            </w:r>
          </w:p>
        </w:tc>
        <w:tc>
          <w:tcPr>
            <w:tcW w:w="2006" w:type="dxa"/>
            <w:shd w:val="clear" w:color="auto" w:fill="auto"/>
          </w:tcPr>
          <w:p>
            <w:pPr>
              <w:jc w:val="right"/>
              <w:rPr>
                <w:rFonts w:ascii="宋体"/>
                <w:color w:val="auto"/>
                <w:szCs w:val="21"/>
              </w:rPr>
            </w:pPr>
            <w:r>
              <w:rPr>
                <w:color w:val="auto"/>
              </w:rPr>
              <w:t>3,353,173.72</w:t>
            </w:r>
          </w:p>
        </w:tc>
        <w:tc>
          <w:tcPr>
            <w:tcW w:w="2046" w:type="dxa"/>
            <w:shd w:val="clear" w:color="auto" w:fill="auto"/>
          </w:tcPr>
          <w:p>
            <w:pPr>
              <w:jc w:val="right"/>
              <w:rPr>
                <w:rFonts w:ascii="宋体"/>
                <w:color w:val="auto"/>
                <w:szCs w:val="21"/>
              </w:rPr>
            </w:pPr>
            <w:r>
              <w:rPr>
                <w:color w:val="auto"/>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20六民债</w:t>
            </w:r>
          </w:p>
        </w:tc>
        <w:tc>
          <w:tcPr>
            <w:tcW w:w="2006" w:type="dxa"/>
            <w:shd w:val="clear" w:color="auto" w:fill="auto"/>
          </w:tcPr>
          <w:p>
            <w:pPr>
              <w:jc w:val="right"/>
              <w:rPr>
                <w:rFonts w:ascii="宋体"/>
                <w:color w:val="auto"/>
                <w:szCs w:val="21"/>
              </w:rPr>
            </w:pPr>
            <w:r>
              <w:rPr>
                <w:color w:val="auto"/>
              </w:rPr>
              <w:t>2,886,490.91</w:t>
            </w:r>
          </w:p>
        </w:tc>
        <w:tc>
          <w:tcPr>
            <w:tcW w:w="2046" w:type="dxa"/>
            <w:shd w:val="clear" w:color="auto" w:fill="auto"/>
          </w:tcPr>
          <w:p>
            <w:pPr>
              <w:jc w:val="right"/>
              <w:rPr>
                <w:rFonts w:ascii="宋体"/>
                <w:color w:val="auto"/>
                <w:szCs w:val="21"/>
              </w:rPr>
            </w:pPr>
            <w:r>
              <w:rPr>
                <w:color w:val="auto"/>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2,839,343.20</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20遵投01</w:t>
            </w:r>
          </w:p>
        </w:tc>
        <w:tc>
          <w:tcPr>
            <w:tcW w:w="2006" w:type="dxa"/>
            <w:shd w:val="clear" w:color="auto" w:fill="auto"/>
          </w:tcPr>
          <w:p>
            <w:pPr>
              <w:jc w:val="right"/>
              <w:rPr>
                <w:rFonts w:ascii="宋体"/>
                <w:color w:val="auto"/>
                <w:szCs w:val="21"/>
              </w:rPr>
            </w:pPr>
            <w:r>
              <w:rPr>
                <w:color w:val="auto"/>
              </w:rPr>
              <w:t>2,768,029.82</w:t>
            </w:r>
          </w:p>
        </w:tc>
        <w:tc>
          <w:tcPr>
            <w:tcW w:w="2046" w:type="dxa"/>
            <w:shd w:val="clear" w:color="auto" w:fill="auto"/>
          </w:tcPr>
          <w:p>
            <w:pPr>
              <w:jc w:val="right"/>
              <w:rPr>
                <w:rFonts w:ascii="宋体"/>
                <w:color w:val="auto"/>
                <w:szCs w:val="21"/>
              </w:rPr>
            </w:pPr>
            <w:r>
              <w:rPr>
                <w:color w:val="auto"/>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2,750,249.84</w:t>
            </w:r>
          </w:p>
        </w:tc>
        <w:tc>
          <w:tcPr>
            <w:tcW w:w="2046" w:type="dxa"/>
            <w:shd w:val="clear" w:color="auto" w:fill="auto"/>
          </w:tcPr>
          <w:p>
            <w:pPr>
              <w:jc w:val="right"/>
              <w:rPr>
                <w:rFonts w:ascii="宋体"/>
                <w:color w:val="auto"/>
                <w:szCs w:val="21"/>
              </w:rPr>
            </w:pPr>
            <w:r>
              <w:rPr>
                <w:color w:val="auto"/>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20南明01</w:t>
            </w:r>
          </w:p>
        </w:tc>
        <w:tc>
          <w:tcPr>
            <w:tcW w:w="2006" w:type="dxa"/>
            <w:shd w:val="clear" w:color="auto" w:fill="auto"/>
          </w:tcPr>
          <w:p>
            <w:pPr>
              <w:jc w:val="right"/>
              <w:rPr>
                <w:rFonts w:ascii="宋体"/>
                <w:color w:val="auto"/>
                <w:szCs w:val="21"/>
              </w:rPr>
            </w:pPr>
            <w:r>
              <w:rPr>
                <w:color w:val="auto"/>
              </w:rPr>
              <w:t>2,737,344.29</w:t>
            </w:r>
          </w:p>
        </w:tc>
        <w:tc>
          <w:tcPr>
            <w:tcW w:w="2046" w:type="dxa"/>
            <w:shd w:val="clear" w:color="auto" w:fill="auto"/>
          </w:tcPr>
          <w:p>
            <w:pPr>
              <w:jc w:val="right"/>
              <w:rPr>
                <w:rFonts w:ascii="宋体"/>
                <w:color w:val="auto"/>
                <w:szCs w:val="21"/>
              </w:rPr>
            </w:pPr>
            <w:r>
              <w:rPr>
                <w:color w:val="auto"/>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PR铜管廊</w:t>
            </w:r>
          </w:p>
        </w:tc>
        <w:tc>
          <w:tcPr>
            <w:tcW w:w="2006" w:type="dxa"/>
            <w:shd w:val="clear" w:color="auto" w:fill="auto"/>
          </w:tcPr>
          <w:p>
            <w:pPr>
              <w:jc w:val="right"/>
              <w:rPr>
                <w:rFonts w:ascii="宋体"/>
                <w:color w:val="auto"/>
                <w:szCs w:val="21"/>
              </w:rPr>
            </w:pPr>
            <w:r>
              <w:rPr>
                <w:color w:val="auto"/>
              </w:rPr>
              <w:t>2,423,520.53</w:t>
            </w:r>
          </w:p>
        </w:tc>
        <w:tc>
          <w:tcPr>
            <w:tcW w:w="2046" w:type="dxa"/>
            <w:shd w:val="clear" w:color="auto" w:fill="auto"/>
          </w:tcPr>
          <w:p>
            <w:pPr>
              <w:jc w:val="right"/>
              <w:rPr>
                <w:rFonts w:ascii="宋体"/>
                <w:color w:val="auto"/>
                <w:szCs w:val="21"/>
              </w:rPr>
            </w:pPr>
            <w:r>
              <w:rPr>
                <w:color w:val="auto"/>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2,206,189.60</w:t>
            </w:r>
          </w:p>
        </w:tc>
        <w:tc>
          <w:tcPr>
            <w:tcW w:w="2046" w:type="dxa"/>
            <w:shd w:val="clear" w:color="auto" w:fill="auto"/>
          </w:tcPr>
          <w:p>
            <w:pPr>
              <w:jc w:val="right"/>
              <w:rPr>
                <w:rFonts w:ascii="宋体"/>
                <w:color w:val="auto"/>
                <w:szCs w:val="21"/>
              </w:rPr>
            </w:pPr>
            <w:r>
              <w:rPr>
                <w:color w:val="auto"/>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20贵控01</w:t>
            </w:r>
          </w:p>
        </w:tc>
        <w:tc>
          <w:tcPr>
            <w:tcW w:w="2006" w:type="dxa"/>
            <w:shd w:val="clear" w:color="auto" w:fill="auto"/>
          </w:tcPr>
          <w:p>
            <w:pPr>
              <w:jc w:val="right"/>
              <w:rPr>
                <w:rFonts w:ascii="宋体"/>
                <w:color w:val="auto"/>
                <w:szCs w:val="21"/>
              </w:rPr>
            </w:pPr>
            <w:r>
              <w:rPr>
                <w:color w:val="auto"/>
              </w:rPr>
              <w:t>2,177,924.57</w:t>
            </w:r>
          </w:p>
        </w:tc>
        <w:tc>
          <w:tcPr>
            <w:tcW w:w="2046" w:type="dxa"/>
            <w:shd w:val="clear" w:color="auto" w:fill="auto"/>
          </w:tcPr>
          <w:p>
            <w:pPr>
              <w:jc w:val="right"/>
              <w:rPr>
                <w:rFonts w:ascii="宋体"/>
                <w:color w:val="auto"/>
                <w:szCs w:val="21"/>
              </w:rPr>
            </w:pPr>
            <w:r>
              <w:rPr>
                <w:color w:val="auto"/>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39,618,733.84</w:t>
            </w:r>
          </w:p>
        </w:tc>
        <w:tc>
          <w:tcPr>
            <w:tcW w:w="2046" w:type="dxa"/>
            <w:shd w:val="clear" w:color="auto" w:fill="auto"/>
          </w:tcPr>
          <w:p>
            <w:pPr>
              <w:jc w:val="right"/>
              <w:rPr>
                <w:rFonts w:ascii="宋体"/>
                <w:color w:val="auto"/>
                <w:szCs w:val="21"/>
              </w:rPr>
            </w:pPr>
            <w:r>
              <w:rPr>
                <w:color w:val="auto"/>
              </w:rPr>
              <w:t>39.09</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r>
        <w:rPr>
          <w:rFonts w:hint="eastAsia" w:ascii="宋体" w:hAnsi="宋体"/>
          <w:color w:val="auto"/>
          <w:szCs w:val="21"/>
        </w:rPr>
        <w:t>2022年</w:t>
      </w:r>
      <w:bookmarkStart w:id="11" w:name="_GoBack"/>
      <w:bookmarkEnd w:id="11"/>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dwd+FHg+KlyhVKbqkwF+rhYOTJY=" w:salt="M2kNZ3sQxoQf99T8z/Kb8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BF87B3B"/>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2023-03-16T06:17:46Z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