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hint="eastAsia" w:ascii="宋体" w:hAnsi="宋体" w:eastAsia="宋体"/>
          <w:b/>
          <w:color w:val="000000"/>
          <w:sz w:val="32"/>
          <w:szCs w:val="32"/>
          <w:shd w:val="clear" w:color="auto" w:fill="FFFFFF"/>
          <w:lang w:eastAsia="zh-CN"/>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贵阳农商银行超值宝1年</w:t>
      </w:r>
      <w:r>
        <w:rPr>
          <w:rFonts w:hint="eastAsia" w:ascii="方正小标宋简体" w:hAnsi="宋体" w:eastAsia="方正小标宋简体"/>
          <w:color w:val="000000"/>
          <w:sz w:val="44"/>
          <w:szCs w:val="32"/>
          <w:shd w:val="clear" w:color="auto" w:fill="FFFFFF"/>
          <w:lang w:val="en-US" w:eastAsia="zh-CN"/>
        </w:rPr>
        <w:t>145</w:t>
      </w:r>
      <w:r>
        <w:rPr>
          <w:rFonts w:hint="eastAsia" w:ascii="方正小标宋简体" w:hAnsi="宋体" w:eastAsia="方正小标宋简体"/>
          <w:color w:val="000000"/>
          <w:sz w:val="44"/>
          <w:szCs w:val="32"/>
          <w:shd w:val="clear" w:color="auto" w:fill="FFFFFF"/>
        </w:rPr>
        <w:t>期理财产品</w:t>
      </w:r>
    </w:p>
    <w:p>
      <w:pPr>
        <w:spacing w:before="156" w:beforeLines="50" w:after="156" w:afterLines="50" w:line="360" w:lineRule="auto"/>
        <w:jc w:val="center"/>
        <w:rPr>
          <w:rFonts w:ascii="方正小标宋简体" w:hAnsi="宋体" w:eastAsia="方正小标宋简体"/>
          <w:sz w:val="36"/>
          <w:szCs w:val="24"/>
        </w:rPr>
      </w:pPr>
      <w:r>
        <w:rPr>
          <w:rFonts w:hint="eastAsia" w:ascii="方正小标宋简体" w:hAnsi="宋体" w:eastAsia="方正小标宋简体"/>
          <w:color w:val="000000"/>
          <w:sz w:val="44"/>
          <w:szCs w:val="32"/>
          <w:shd w:val="clear" w:color="auto" w:fill="FFFFFF"/>
        </w:rPr>
        <w:t>20</w:t>
      </w:r>
      <w:r>
        <w:rPr>
          <w:rFonts w:hint="eastAsia" w:ascii="方正小标宋简体" w:hAnsi="宋体" w:eastAsia="方正小标宋简体"/>
          <w:color w:val="000000"/>
          <w:sz w:val="44"/>
          <w:szCs w:val="32"/>
          <w:shd w:val="clear" w:color="auto" w:fill="FFFFFF"/>
          <w:lang w:val="en-US" w:eastAsia="zh-CN"/>
        </w:rPr>
        <w:t>22</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eastAsia="zh-CN"/>
        </w:rPr>
        <w:t>第</w:t>
      </w:r>
      <w:r>
        <w:rPr>
          <w:rFonts w:hint="eastAsia" w:ascii="方正小标宋简体" w:hAnsi="宋体" w:eastAsia="方正小标宋简体"/>
          <w:color w:val="000000"/>
          <w:sz w:val="44"/>
          <w:szCs w:val="32"/>
          <w:shd w:val="clear" w:color="auto" w:fill="FFFFFF"/>
          <w:lang w:val="en-US" w:eastAsia="zh-CN"/>
        </w:rPr>
        <w:t>4</w:t>
      </w:r>
      <w:r>
        <w:rPr>
          <w:rFonts w:hint="eastAsia" w:ascii="方正小标宋简体" w:hAnsi="宋体" w:eastAsia="方正小标宋简体"/>
          <w:color w:val="000000"/>
          <w:sz w:val="44"/>
          <w:szCs w:val="32"/>
          <w:shd w:val="clear" w:color="auto" w:fill="FFFFFF"/>
          <w:lang w:eastAsia="zh-CN"/>
        </w:rPr>
        <w:t>季度报告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20</w:t>
      </w:r>
      <w:r>
        <w:rPr>
          <w:rFonts w:hint="eastAsia" w:ascii="仿宋" w:hAnsi="仿宋" w:eastAsia="仿宋"/>
          <w:b/>
          <w:color w:val="000000"/>
          <w:sz w:val="32"/>
          <w:szCs w:val="32"/>
          <w:shd w:val="clear" w:color="auto" w:fill="FFFFFF"/>
          <w:lang w:val="en-US" w:eastAsia="zh-CN"/>
        </w:rPr>
        <w:t>22</w:t>
      </w:r>
      <w:r>
        <w:rPr>
          <w:rFonts w:hint="eastAsia" w:ascii="仿宋" w:hAnsi="仿宋" w:eastAsia="仿宋"/>
          <w:b/>
          <w:color w:val="000000"/>
          <w:sz w:val="32"/>
          <w:szCs w:val="32"/>
          <w:shd w:val="clear" w:color="auto" w:fill="FFFFFF"/>
        </w:rPr>
        <w:t>年</w:t>
      </w:r>
      <w:r>
        <w:rPr>
          <w:rFonts w:hint="eastAsia" w:ascii="仿宋" w:hAnsi="仿宋" w:eastAsia="仿宋"/>
          <w:b/>
          <w:color w:val="000000"/>
          <w:sz w:val="32"/>
          <w:szCs w:val="32"/>
          <w:shd w:val="clear" w:color="auto" w:fill="FFFFFF"/>
          <w:lang w:val="en-US" w:eastAsia="zh-CN"/>
        </w:rPr>
        <w:t>12</w:t>
      </w:r>
      <w:r>
        <w:rPr>
          <w:rFonts w:hint="eastAsia" w:ascii="仿宋" w:hAnsi="仿宋" w:eastAsia="仿宋"/>
          <w:b/>
          <w:color w:val="000000"/>
          <w:sz w:val="32"/>
          <w:szCs w:val="32"/>
          <w:shd w:val="clear" w:color="auto" w:fill="FFFFFF"/>
        </w:rPr>
        <w:t>月3</w:t>
      </w:r>
      <w:r>
        <w:rPr>
          <w:rFonts w:hint="eastAsia" w:ascii="仿宋" w:hAnsi="仿宋" w:eastAsia="仿宋"/>
          <w:b/>
          <w:color w:val="000000"/>
          <w:sz w:val="32"/>
          <w:szCs w:val="32"/>
          <w:shd w:val="clear" w:color="auto" w:fill="FFFFFF"/>
          <w:lang w:val="en-US" w:eastAsia="zh-CN"/>
        </w:rPr>
        <w:t>1</w:t>
      </w:r>
      <w:r>
        <w:rPr>
          <w:rFonts w:hint="eastAsia" w:ascii="仿宋" w:hAnsi="仿宋" w:eastAsia="仿宋"/>
          <w:b/>
          <w:color w:val="000000"/>
          <w:sz w:val="32"/>
          <w:szCs w:val="32"/>
          <w:shd w:val="clear" w:color="auto" w:fill="FFFFFF"/>
        </w:rPr>
        <w:t>日</w:t>
      </w: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产品管理人：贵阳农村商业银行股份有限公司</w:t>
      </w:r>
    </w:p>
    <w:p>
      <w:pPr>
        <w:spacing w:before="156" w:beforeLines="50" w:after="156" w:afterLines="50" w:line="360" w:lineRule="auto"/>
        <w:jc w:val="center"/>
        <w:rPr>
          <w:rFonts w:ascii="宋体" w:hAnsi="宋体"/>
          <w:b/>
          <w:color w:val="000000"/>
          <w:sz w:val="32"/>
          <w:szCs w:val="32"/>
          <w:shd w:val="clear" w:color="auto" w:fill="FFFFFF"/>
        </w:rPr>
      </w:pPr>
      <w:r>
        <w:rPr>
          <w:rFonts w:hint="eastAsia" w:ascii="仿宋" w:hAnsi="仿宋" w:eastAsia="仿宋"/>
          <w:b/>
          <w:color w:val="000000"/>
          <w:sz w:val="32"/>
          <w:szCs w:val="32"/>
          <w:shd w:val="clear" w:color="auto" w:fill="FFFFFF"/>
        </w:rPr>
        <w:t>产品托管人：兴业银行股份有限公司贵阳分行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黑体" w:hAnsi="黑体" w:eastAsia="黑体"/>
        </w:rPr>
      </w:pPr>
      <w:r>
        <w:rPr>
          <w:rFonts w:hint="eastAsia" w:ascii="黑体" w:hAnsi="黑体" w:eastAsia="黑体"/>
          <w:sz w:val="24"/>
          <w:szCs w:val="24"/>
          <w:shd w:val="clear" w:color="auto" w:fill="FFFFFF"/>
        </w:rPr>
        <w:t>§1  重要提示</w:t>
      </w:r>
    </w:p>
    <w:p>
      <w:pPr>
        <w:spacing w:before="156" w:beforeLines="50" w:after="156" w:afterLines="50" w:line="600" w:lineRule="exact"/>
        <w:ind w:firstLine="420" w:firstLineChars="200"/>
        <w:rPr>
          <w:rFonts w:ascii="仿宋" w:hAnsi="仿宋" w:eastAsia="仿宋"/>
        </w:rPr>
      </w:pPr>
      <w:r>
        <w:rPr>
          <w:rFonts w:ascii="仿宋" w:hAnsi="仿宋" w:eastAsia="仿宋"/>
        </w:rPr>
        <w:t>产品管理人保证本报告所载资料不存在虚假记载、误导性陈述或重大遗漏</w:t>
      </w:r>
      <w:r>
        <w:rPr>
          <w:rFonts w:hint="eastAsia" w:ascii="仿宋" w:hAnsi="仿宋" w:eastAsia="仿宋"/>
        </w:rPr>
        <w:t>，</w:t>
      </w:r>
      <w:r>
        <w:rPr>
          <w:rFonts w:ascii="仿宋" w:hAnsi="仿宋" w:eastAsia="仿宋"/>
        </w:rPr>
        <w:t>并对其内容的真实性、准确性和完整性承担个别及连带责任。</w:t>
      </w:r>
    </w:p>
    <w:p>
      <w:pPr>
        <w:spacing w:before="156" w:beforeLines="50" w:after="156" w:afterLines="50" w:line="600" w:lineRule="exact"/>
        <w:ind w:firstLine="420" w:firstLineChars="200"/>
        <w:rPr>
          <w:rFonts w:ascii="仿宋" w:hAnsi="仿宋" w:eastAsia="仿宋"/>
        </w:rPr>
      </w:pPr>
      <w:r>
        <w:rPr>
          <w:rFonts w:ascii="仿宋" w:hAnsi="仿宋" w:eastAsia="仿宋"/>
        </w:rPr>
        <w:t>产品托管人</w:t>
      </w:r>
      <w:r>
        <w:rPr>
          <w:rFonts w:hint="eastAsia" w:ascii="仿宋" w:hAnsi="仿宋" w:eastAsia="仿宋"/>
        </w:rPr>
        <w:t>兴业银行股份有限公司贵阳分行，</w:t>
      </w:r>
      <w:r>
        <w:rPr>
          <w:rFonts w:ascii="仿宋" w:hAnsi="仿宋" w:eastAsia="仿宋"/>
        </w:rPr>
        <w:t>已复核了本报告中的财务指标、净值表现和投资组合报告等内容</w:t>
      </w:r>
      <w:r>
        <w:rPr>
          <w:rFonts w:hint="eastAsia" w:ascii="仿宋" w:hAnsi="仿宋" w:eastAsia="仿宋"/>
        </w:rPr>
        <w:t>，</w:t>
      </w:r>
      <w:r>
        <w:rPr>
          <w:rFonts w:ascii="仿宋" w:hAnsi="仿宋" w:eastAsia="仿宋"/>
        </w:rPr>
        <w:t>保证复核内容不存在虚假记载、误导性陈述或者重大遗漏</w:t>
      </w:r>
      <w:r>
        <w:rPr>
          <w:rFonts w:hint="eastAsia" w:ascii="仿宋" w:hAnsi="仿宋" w:eastAsia="仿宋"/>
        </w:rPr>
        <w:t>。</w:t>
      </w:r>
    </w:p>
    <w:p>
      <w:pPr>
        <w:spacing w:before="156" w:beforeLines="50" w:after="156" w:afterLines="50" w:line="600" w:lineRule="exact"/>
        <w:ind w:firstLine="420" w:firstLineChars="200"/>
        <w:rPr>
          <w:rFonts w:ascii="仿宋" w:hAnsi="仿宋" w:eastAsia="仿宋"/>
        </w:rPr>
      </w:pPr>
      <w:r>
        <w:rPr>
          <w:rFonts w:ascii="仿宋" w:hAnsi="仿宋" w:eastAsia="仿宋"/>
        </w:rPr>
        <w:t>本报告中财务资料未经审计</w:t>
      </w:r>
      <w:r>
        <w:rPr>
          <w:rFonts w:hint="eastAsia" w:ascii="仿宋" w:hAnsi="仿宋" w:eastAsia="仿宋"/>
        </w:rPr>
        <w:t>。</w:t>
      </w:r>
    </w:p>
    <w:p>
      <w:pPr>
        <w:spacing w:before="156" w:beforeLines="50" w:after="156" w:afterLines="50" w:line="600" w:lineRule="exact"/>
        <w:ind w:firstLine="420" w:firstLineChars="200"/>
        <w:rPr>
          <w:rFonts w:ascii="仿宋" w:hAnsi="仿宋" w:eastAsia="仿宋"/>
          <w:b/>
          <w:color w:val="000000"/>
          <w:sz w:val="32"/>
          <w:szCs w:val="32"/>
          <w:shd w:val="clear" w:color="auto" w:fill="FFFFFF"/>
        </w:rPr>
      </w:pPr>
      <w:r>
        <w:rPr>
          <w:rFonts w:ascii="仿宋" w:hAnsi="仿宋" w:eastAsia="仿宋"/>
        </w:rPr>
        <w:t>本</w:t>
      </w:r>
      <w:r>
        <w:rPr>
          <w:rFonts w:hint="eastAsia" w:ascii="仿宋" w:hAnsi="仿宋" w:eastAsia="仿宋"/>
        </w:rPr>
        <w:t>报告期自2022年10月01日起至2022年12月31日止。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p>
      <w:pPr>
        <w:spacing w:before="156" w:beforeLines="50" w:after="156" w:afterLines="50" w:line="360" w:lineRule="auto"/>
        <w:jc w:val="center"/>
        <w:rPr>
          <w:rFonts w:hint="eastAsia" w:ascii="黑体" w:hAnsi="黑体" w:eastAsia="黑体"/>
          <w:sz w:val="24"/>
          <w:szCs w:val="24"/>
          <w:shd w:val="clear" w:color="auto" w:fill="FFFFFF"/>
        </w:rPr>
      </w:pPr>
      <w:bookmarkStart w:id="0" w:name="_Toc528772556"/>
      <w:bookmarkStart w:id="1" w:name="_Toc194311890"/>
    </w:p>
    <w:p>
      <w:pPr>
        <w:spacing w:before="156" w:beforeLines="50" w:after="156" w:afterLines="50" w:line="360" w:lineRule="auto"/>
        <w:jc w:val="center"/>
        <w:rPr>
          <w:rFonts w:ascii="黑体" w:hAnsi="黑体" w:eastAsia="黑体"/>
          <w:sz w:val="24"/>
          <w:szCs w:val="24"/>
          <w:shd w:val="clear" w:color="auto" w:fill="FFFFFF"/>
        </w:rPr>
      </w:pPr>
      <w:r>
        <w:rPr>
          <w:rFonts w:hint="eastAsia" w:ascii="黑体" w:hAnsi="黑体" w:eastAsia="黑体"/>
          <w:sz w:val="24"/>
          <w:szCs w:val="24"/>
          <w:shd w:val="clear" w:color="auto" w:fill="FFFFFF"/>
        </w:rPr>
        <w:t>§2</w:t>
      </w:r>
      <w:bookmarkEnd w:id="0"/>
      <w:bookmarkEnd w:id="1"/>
      <w:r>
        <w:rPr>
          <w:rFonts w:hint="eastAsia" w:ascii="黑体" w:hAnsi="黑体" w:eastAsia="黑体"/>
          <w:sz w:val="24"/>
          <w:szCs w:val="24"/>
          <w:shd w:val="clear" w:color="auto" w:fill="FFFFFF"/>
        </w:rPr>
        <w:t>产品概况</w:t>
      </w:r>
    </w:p>
    <w:tbl>
      <w:tblPr>
        <w:tblStyle w:val="10"/>
        <w:tblpPr w:leftFromText="180" w:rightFromText="180" w:vertAnchor="text" w:horzAnchor="margin" w:tblpX="-688" w:tblpY="81"/>
        <w:tblW w:w="101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20"/>
        <w:gridCol w:w="7335"/>
      </w:tblGrid>
      <w:tr>
        <w:tblPrEx>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产品名称</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超值宝</w:t>
            </w:r>
            <w:r>
              <w:rPr>
                <w:rFonts w:hint="eastAsia" w:ascii="仿宋" w:hAnsi="仿宋" w:eastAsia="仿宋"/>
                <w:kern w:val="0"/>
                <w:szCs w:val="21"/>
                <w:shd w:val="clear" w:color="auto" w:fill="FFFFFF"/>
                <w:lang w:val="en-US" w:eastAsia="zh-CN"/>
              </w:rPr>
              <w:t>1年145</w:t>
            </w:r>
            <w:r>
              <w:rPr>
                <w:rFonts w:hint="eastAsia" w:ascii="仿宋" w:hAnsi="仿宋" w:eastAsia="仿宋"/>
                <w:kern w:val="0"/>
                <w:szCs w:val="21"/>
                <w:shd w:val="clear" w:color="auto" w:fill="FFFFFF"/>
              </w:rPr>
              <w:t>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产品登记编码</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default" w:ascii="仿宋" w:hAnsi="仿宋" w:eastAsia="仿宋"/>
                <w:kern w:val="0"/>
                <w:szCs w:val="21"/>
                <w:shd w:val="clear" w:color="auto" w:fill="FFFFFF"/>
                <w:lang w:val="en-US"/>
              </w:rPr>
            </w:pPr>
            <w:r>
              <w:rPr>
                <w:rFonts w:hint="eastAsia"/>
                <w:lang w:eastAsia="zh-CN"/>
              </w:rPr>
              <w:t>C11883</w:t>
            </w:r>
            <w:r>
              <w:rPr>
                <w:rFonts w:hint="eastAsia"/>
                <w:lang w:val="en-US" w:eastAsia="zh-CN"/>
              </w:rPr>
              <w:t>22000067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产品类型</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lang w:eastAsia="zh-CN"/>
              </w:rPr>
              <w:t>公募</w:t>
            </w:r>
            <w:r>
              <w:rPr>
                <w:rFonts w:hint="eastAsia" w:ascii="仿宋" w:hAnsi="仿宋" w:eastAsia="仿宋"/>
                <w:kern w:val="0"/>
                <w:szCs w:val="21"/>
                <w:shd w:val="clear" w:color="auto" w:fill="FFFFFF"/>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报告期末产品存续规模（份）</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color w:val="000000"/>
                <w:sz w:val="22"/>
                <w:szCs w:val="22"/>
                <w:lang w:eastAsia="zh-CN"/>
              </w:rPr>
            </w:pPr>
            <w:r>
              <w:rPr>
                <w:rFonts w:hint="eastAsia" w:ascii="仿宋" w:hAnsi="仿宋" w:eastAsia="仿宋" w:cs="宋体"/>
                <w:color w:val="000000"/>
                <w:sz w:val="22"/>
                <w:szCs w:val="22"/>
                <w:lang w:eastAsia="zh-CN"/>
              </w:rPr>
              <w:t>120,000,000.00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投资类型</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投资范围</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投资策略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通过自上而下的定性分析和定量分析方法，综合分析宏观经济形势、国家政策、市场流动性等因素，综合判断利率走势、收益率曲线变化趋势和信用风险变化等，同时通过自下而上加强行业研究和个券选择，构建和调整固定收益投资组合，采取票息策略，严格控制组合久期和杠杆水平，力求获得稳健的投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产品费率</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本产品收取固定销售费0</w:t>
            </w:r>
            <w:r>
              <w:rPr>
                <w:rFonts w:ascii="仿宋" w:hAnsi="仿宋" w:eastAsia="仿宋"/>
                <w:szCs w:val="21"/>
                <w:shd w:val="clear" w:color="auto" w:fill="FFFFFF"/>
              </w:rPr>
              <w:t>.</w:t>
            </w:r>
            <w:r>
              <w:rPr>
                <w:rFonts w:hint="eastAsia" w:ascii="仿宋" w:hAnsi="仿宋" w:eastAsia="仿宋"/>
                <w:szCs w:val="21"/>
                <w:shd w:val="clear" w:color="auto" w:fill="FFFFFF"/>
                <w:lang w:val="en-US" w:eastAsia="zh-CN"/>
              </w:rPr>
              <w:t>3</w:t>
            </w:r>
            <w:r>
              <w:rPr>
                <w:rFonts w:ascii="仿宋" w:hAnsi="仿宋" w:eastAsia="仿宋"/>
                <w:szCs w:val="21"/>
                <w:shd w:val="clear" w:color="auto" w:fill="FFFFFF"/>
              </w:rPr>
              <w:t>0</w:t>
            </w:r>
            <w:r>
              <w:rPr>
                <w:rFonts w:hint="eastAsia" w:ascii="仿宋" w:hAnsi="仿宋" w:eastAsia="仿宋"/>
                <w:szCs w:val="21"/>
                <w:shd w:val="clear" w:color="auto" w:fill="FFFFFF"/>
              </w:rPr>
              <w:t>%/年，固定管理费0</w:t>
            </w:r>
            <w:r>
              <w:rPr>
                <w:rFonts w:ascii="仿宋" w:hAnsi="仿宋" w:eastAsia="仿宋"/>
                <w:szCs w:val="21"/>
                <w:shd w:val="clear" w:color="auto" w:fill="FFFFFF"/>
              </w:rPr>
              <w:t>.30</w:t>
            </w:r>
            <w:r>
              <w:rPr>
                <w:rFonts w:hint="eastAsia" w:ascii="仿宋" w:hAnsi="仿宋" w:eastAsia="仿宋"/>
                <w:szCs w:val="21"/>
                <w:shd w:val="clear" w:color="auto" w:fill="FFFFFF"/>
              </w:rPr>
              <w:t>%/年、固定托管费0</w:t>
            </w:r>
            <w:r>
              <w:rPr>
                <w:rFonts w:ascii="仿宋" w:hAnsi="仿宋" w:eastAsia="仿宋"/>
                <w:szCs w:val="21"/>
                <w:shd w:val="clear" w:color="auto" w:fill="FFFFFF"/>
              </w:rPr>
              <w:t>.0</w:t>
            </w:r>
            <w:r>
              <w:rPr>
                <w:rFonts w:hint="eastAsia" w:ascii="仿宋" w:hAnsi="仿宋" w:eastAsia="仿宋"/>
                <w:szCs w:val="21"/>
                <w:shd w:val="clear" w:color="auto" w:fill="FFFFFF"/>
                <w:lang w:val="en-US" w:eastAsia="zh-CN"/>
              </w:rPr>
              <w:t>1</w:t>
            </w:r>
            <w:r>
              <w:rPr>
                <w:rFonts w:hint="eastAsia" w:ascii="仿宋" w:hAnsi="仿宋" w:eastAsia="仿宋"/>
                <w:szCs w:val="21"/>
                <w:shd w:val="clear" w:color="auto" w:fill="FFFFFF"/>
              </w:rPr>
              <w:t>%/年和超额业绩报酬（如有），上述费用在计算产品单位净值前扣除。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产品成立日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2022年6月28日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产品终止日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2023年6月28日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产品估值方法</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lang w:val="en-US" w:eastAsia="zh-CN"/>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lang w:eastAsia="zh-CN"/>
              </w:rPr>
              <w:t>杠杆</w:t>
            </w:r>
            <w:r>
              <w:rPr>
                <w:rFonts w:hint="eastAsia" w:ascii="仿宋" w:hAnsi="仿宋" w:eastAsia="仿宋"/>
                <w:b/>
                <w:szCs w:val="21"/>
                <w:shd w:val="clear" w:color="auto" w:fill="FFFFFF"/>
              </w:rPr>
              <w:t>水平</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业绩比较基准</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val="en-US" w:eastAsia="zh-CN"/>
              </w:rPr>
              <w:t>4.50</w:t>
            </w:r>
            <w:r>
              <w:rPr>
                <w:rFonts w:hint="eastAsia" w:ascii="仿宋" w:hAnsi="仿宋" w:eastAsia="仿宋"/>
                <w:szCs w:val="21"/>
                <w:shd w:val="clear" w:color="auto" w:fill="FFFFFF"/>
              </w:rPr>
              <w:t>%</w:t>
            </w:r>
            <w:r>
              <w:rPr>
                <w:rFonts w:hint="eastAsia" w:ascii="仿宋" w:hAnsi="仿宋" w:eastAsia="仿宋"/>
                <w:szCs w:val="21"/>
                <w:shd w:val="clear" w:color="auto" w:fill="FFFFFF"/>
                <w:lang w:val="en-US" w:eastAsia="zh-CN"/>
              </w:rPr>
              <w:t>-5.20%</w:t>
            </w:r>
            <w:r>
              <w:rPr>
                <w:rFonts w:hint="eastAsia" w:ascii="仿宋" w:hAnsi="仿宋" w:eastAsia="仿宋"/>
                <w:szCs w:val="21"/>
                <w:shd w:val="clear" w:color="auto" w:fill="FFFFFF"/>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风险等级</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产品管理人</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产品托管人</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eastAsia="zh-CN"/>
              </w:rPr>
              <w:t>兴业银行股份有限公司贵阳分行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投资账户信息</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highlight w:val="none"/>
                <w:shd w:val="clear" w:color="auto" w:fill="FFFFFF"/>
              </w:rPr>
            </w:pPr>
            <w:r>
              <w:rPr>
                <w:rFonts w:hint="eastAsia" w:ascii="仿宋" w:hAnsi="仿宋" w:eastAsia="仿宋"/>
                <w:szCs w:val="21"/>
                <w:highlight w:val="none"/>
                <w:shd w:val="clear" w:color="auto" w:fill="FFFFFF"/>
              </w:rPr>
              <w:t>户名：贵阳农村商业银行股份有限公司超值宝1年145期</w:t>
            </w:r>
          </w:p>
          <w:p>
            <w:pPr>
              <w:rPr>
                <w:rFonts w:hint="eastAsia" w:ascii="仿宋" w:hAnsi="仿宋" w:eastAsia="仿宋"/>
                <w:szCs w:val="21"/>
                <w:highlight w:val="none"/>
                <w:shd w:val="clear" w:color="auto" w:fill="FFFFFF"/>
                <w:lang w:val="en-US" w:eastAsia="zh-CN"/>
              </w:rPr>
            </w:pPr>
            <w:r>
              <w:rPr>
                <w:rFonts w:hint="eastAsia" w:ascii="仿宋" w:hAnsi="仿宋" w:eastAsia="仿宋"/>
                <w:szCs w:val="21"/>
                <w:highlight w:val="none"/>
                <w:shd w:val="clear" w:color="auto" w:fill="FFFFFF"/>
              </w:rPr>
              <w:t>账号：602010100100813105</w:t>
            </w:r>
          </w:p>
          <w:p>
            <w:pPr>
              <w:rPr>
                <w:rFonts w:ascii="仿宋" w:hAnsi="仿宋" w:eastAsia="仿宋"/>
                <w:szCs w:val="21"/>
                <w:highlight w:val="yellow"/>
                <w:shd w:val="clear" w:color="auto" w:fill="FFFFFF"/>
              </w:rPr>
            </w:pPr>
            <w:r>
              <w:rPr>
                <w:rFonts w:hint="eastAsia" w:ascii="仿宋" w:hAnsi="仿宋" w:eastAsia="仿宋"/>
                <w:szCs w:val="21"/>
                <w:highlight w:val="none"/>
                <w:shd w:val="clear" w:color="auto" w:fill="FFFFFF"/>
              </w:rPr>
              <w:t>开户行：</w:t>
            </w:r>
            <w:r>
              <w:rPr>
                <w:rFonts w:hint="eastAsia" w:ascii="仿宋" w:hAnsi="仿宋" w:eastAsia="仿宋"/>
                <w:szCs w:val="21"/>
                <w:highlight w:val="none"/>
                <w:shd w:val="clear" w:color="auto" w:fill="FFFFFF"/>
                <w:lang w:eastAsia="zh-CN"/>
              </w:rPr>
              <w:t>兴业银行股份有限公司贵阳分行</w:t>
            </w:r>
          </w:p>
        </w:tc>
      </w:tr>
    </w:tbl>
    <w:p>
      <w:pPr>
        <w:spacing w:before="156" w:beforeLines="50" w:after="156" w:afterLines="50" w:line="360" w:lineRule="auto"/>
        <w:rPr>
          <w:rFonts w:ascii="仿宋" w:hAnsi="仿宋" w:eastAsia="仿宋"/>
          <w:b/>
        </w:rPr>
      </w:pPr>
    </w:p>
    <w:p>
      <w:pPr>
        <w:widowControl/>
        <w:jc w:val="center"/>
        <w:rPr>
          <w:rFonts w:hint="eastAsia" w:ascii="黑体" w:hAnsi="黑体" w:eastAsia="黑体"/>
          <w:sz w:val="24"/>
          <w:szCs w:val="24"/>
        </w:rPr>
      </w:pPr>
    </w:p>
    <w:p>
      <w:pPr>
        <w:widowControl/>
        <w:jc w:val="center"/>
        <w:rPr>
          <w:rFonts w:ascii="黑体" w:hAnsi="黑体" w:eastAsia="黑体"/>
          <w:sz w:val="24"/>
          <w:szCs w:val="24"/>
        </w:rPr>
      </w:pPr>
      <w:r>
        <w:rPr>
          <w:rFonts w:hint="eastAsia" w:ascii="黑体" w:hAnsi="黑体" w:eastAsia="黑体"/>
          <w:sz w:val="24"/>
          <w:szCs w:val="24"/>
        </w:rPr>
        <w:t>§</w:t>
      </w:r>
      <w:r>
        <w:rPr>
          <w:rFonts w:ascii="黑体" w:hAnsi="黑体" w:eastAsia="黑体"/>
          <w:sz w:val="24"/>
          <w:szCs w:val="24"/>
        </w:rPr>
        <w:t>3</w:t>
      </w:r>
      <w:r>
        <w:rPr>
          <w:rFonts w:hint="eastAsia" w:ascii="黑体" w:hAnsi="黑体" w:eastAsia="黑体"/>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rFonts w:ascii="仿宋" w:hAnsi="仿宋" w:eastAsia="仿宋"/>
          <w:color w:val="000000"/>
        </w:rPr>
      </w:pPr>
      <w:r>
        <w:rPr>
          <w:rFonts w:hint="eastAsia" w:ascii="仿宋" w:hAnsi="仿宋" w:eastAsia="仿宋"/>
          <w:color w:val="000000"/>
        </w:rPr>
        <w:t>单位：人民币元</w:t>
      </w:r>
    </w:p>
    <w:tbl>
      <w:tblPr>
        <w:tblStyle w:val="11"/>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0"/>
        <w:gridCol w:w="5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主要财务指标</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报告期（2022年10月01日-2022年12月31日）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1.本期已实现利润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260,124.29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2.本期利润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lang w:val="en-US" w:eastAsia="zh-CN"/>
              </w:rPr>
              <w:t>789,977.39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2.期末产品资产净值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rPr>
              <w:t>122,812,116.56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3.期末产品份额净值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1.0234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4.期末产品份额累计净值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1.0234</w:t>
            </w:r>
          </w:p>
        </w:tc>
      </w:tr>
    </w:tbl>
    <w:p>
      <w:pPr>
        <w:spacing w:before="156" w:beforeLines="50" w:line="360" w:lineRule="exact"/>
        <w:rPr>
          <w:rFonts w:ascii="仿宋" w:hAnsi="仿宋" w:eastAsia="仿宋"/>
        </w:rPr>
      </w:pPr>
      <w:r>
        <w:rPr>
          <w:rFonts w:hint="eastAsia" w:ascii="仿宋" w:hAnsi="仿宋" w:eastAsia="仿宋"/>
        </w:rPr>
        <w:t>注：</w:t>
      </w:r>
      <w:r>
        <w:rPr>
          <w:rFonts w:ascii="仿宋" w:hAnsi="仿宋" w:eastAsia="仿宋"/>
        </w:rPr>
        <w:t>1</w:t>
      </w:r>
      <w:r>
        <w:rPr>
          <w:rFonts w:hint="eastAsia" w:ascii="仿宋" w:hAnsi="仿宋" w:eastAsia="仿宋"/>
        </w:rPr>
        <w:t>、本期已实现收益指该产品本期利息收入、投资收益、其他收入（不含公允价值变动收益）扣除相关费用后的余额，本期收益为本期已实现收益加上本期公允价值变动收益；</w:t>
      </w:r>
    </w:p>
    <w:p>
      <w:pPr>
        <w:spacing w:before="156" w:beforeLines="50" w:line="360" w:lineRule="exact"/>
        <w:rPr>
          <w:rFonts w:ascii="仿宋" w:hAnsi="仿宋" w:eastAsia="仿宋"/>
        </w:rPr>
      </w:pPr>
      <w:r>
        <w:rPr>
          <w:rFonts w:ascii="仿宋" w:hAnsi="仿宋" w:eastAsia="仿宋"/>
        </w:rPr>
        <w:t xml:space="preserve">    2</w:t>
      </w:r>
      <w:r>
        <w:rPr>
          <w:rFonts w:hint="eastAsia" w:ascii="仿宋" w:hAnsi="仿宋" w:eastAsia="仿宋"/>
        </w:rPr>
        <w:t>、除产品合同和招募说明书另有规定外，期末产品份额净值按四舍五入法保留至小数点后第</w:t>
      </w:r>
      <w:r>
        <w:rPr>
          <w:rFonts w:ascii="仿宋" w:hAnsi="仿宋" w:eastAsia="仿宋"/>
        </w:rPr>
        <w:t>4</w:t>
      </w:r>
      <w:r>
        <w:rPr>
          <w:rFonts w:hint="eastAsia" w:ascii="仿宋" w:hAnsi="仿宋" w:eastAsia="仿宋"/>
        </w:rPr>
        <w:t>位，其他财务指标保留至小数点后第</w:t>
      </w:r>
      <w:r>
        <w:rPr>
          <w:rFonts w:ascii="仿宋" w:hAnsi="仿宋" w:eastAsia="仿宋"/>
        </w:rPr>
        <w:t>2</w:t>
      </w:r>
      <w:r>
        <w:rPr>
          <w:rFonts w:hint="eastAsia" w:ascii="仿宋" w:hAnsi="仿宋" w:eastAsia="仿宋"/>
        </w:rPr>
        <w:t>位；</w:t>
      </w:r>
    </w:p>
    <w:p>
      <w:pPr>
        <w:spacing w:before="156" w:beforeLines="50" w:line="360" w:lineRule="exact"/>
        <w:ind w:firstLine="420" w:firstLineChars="200"/>
        <w:rPr>
          <w:rFonts w:ascii="仿宋" w:hAnsi="仿宋" w:eastAsia="仿宋"/>
        </w:rPr>
      </w:pPr>
      <w:r>
        <w:rPr>
          <w:rFonts w:ascii="仿宋" w:hAnsi="仿宋" w:eastAsia="仿宋"/>
        </w:rPr>
        <w:t>3</w:t>
      </w:r>
      <w:r>
        <w:rPr>
          <w:rFonts w:hint="eastAsia" w:ascii="仿宋" w:hAnsi="仿宋" w:eastAsia="仿宋"/>
        </w:rPr>
        <w:t>、期末即最后一个市场交易日；</w:t>
      </w:r>
    </w:p>
    <w:p>
      <w:pPr>
        <w:spacing w:before="156" w:beforeLines="50" w:line="360" w:lineRule="exact"/>
        <w:rPr>
          <w:rFonts w:ascii="仿宋" w:hAnsi="仿宋" w:eastAsia="仿宋"/>
        </w:rPr>
      </w:pPr>
      <w:r>
        <w:rPr>
          <w:rFonts w:ascii="仿宋" w:hAnsi="仿宋" w:eastAsia="仿宋"/>
        </w:rPr>
        <w:tab/>
      </w:r>
      <w:r>
        <w:rPr>
          <w:rFonts w:ascii="仿宋" w:hAnsi="仿宋" w:eastAsia="仿宋"/>
        </w:rPr>
        <w:t>4</w:t>
      </w:r>
      <w:r>
        <w:rPr>
          <w:rFonts w:hint="eastAsia" w:ascii="仿宋" w:hAnsi="仿宋" w:eastAsia="仿宋"/>
        </w:rPr>
        <w:t>、</w:t>
      </w:r>
      <w:r>
        <w:rPr>
          <w:rFonts w:hint="eastAsia" w:ascii="仿宋" w:hAnsi="仿宋" w:eastAsia="仿宋"/>
          <w:color w:val="000000"/>
        </w:rPr>
        <w:t>本报告期内，本理财计划未进行分红。</w:t>
      </w:r>
    </w:p>
    <w:p>
      <w:pPr>
        <w:spacing w:before="156" w:beforeLines="50" w:line="360" w:lineRule="exact"/>
      </w:pP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rPr>
          <w:rFonts w:ascii="仿宋" w:hAnsi="仿宋" w:eastAsia="仿宋"/>
        </w:rPr>
      </w:pPr>
      <w:r>
        <w:rPr>
          <w:rFonts w:hint="eastAsia" w:ascii="仿宋" w:hAnsi="仿宋" w:eastAsia="仿宋"/>
          <w:lang w:val="en-US" w:eastAsia="zh-CN"/>
        </w:rPr>
        <w:t>3.2.1本期产品净值走势图</w:t>
      </w:r>
    </w:p>
    <w:p>
      <w:pPr>
        <w:spacing w:line="240" w:lineRule="auto"/>
        <w:rPr>
          <w:rFonts w:ascii="仿宋" w:hAnsi="仿宋" w:eastAsia="仿宋"/>
        </w:rPr>
      </w:pPr>
      <w:r>
        <w:rPr>
          <w:rFonts w:hint="default"/>
          <w:sz w:val="24"/>
        </w:rPr>
        <w:t xml:space="preserve"> </w:t>
      </w:r>
      <w:r>
        <w:drawing>
          <wp:inline distT="0" distB="0" distL="114300" distR="114300">
            <wp:extent cx="5210175" cy="2457450"/>
            <wp:effectExtent l="4445" t="4445" r="5080" b="1460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2</w:t>
      </w:r>
      <w:r>
        <w:rPr>
          <w:rFonts w:hint="eastAsia" w:ascii="仿宋" w:hAnsi="仿宋" w:eastAsia="仿宋"/>
        </w:rPr>
        <w:t>产品份额净值增长率与同期业绩比较基准收益率的比较</w:t>
      </w:r>
    </w:p>
    <w:p>
      <w:pPr>
        <w:spacing w:before="156" w:beforeLines="50" w:line="360" w:lineRule="exact"/>
        <w:rPr>
          <w:rFonts w:ascii="仿宋" w:hAnsi="仿宋" w:eastAsia="仿宋"/>
        </w:rPr>
      </w:pPr>
    </w:p>
    <w:p>
      <w:pPr>
        <w:spacing w:before="156" w:beforeLines="50" w:line="360" w:lineRule="exact"/>
        <w:rPr>
          <w:rFonts w:ascii="仿宋" w:hAnsi="仿宋" w:eastAsia="仿宋"/>
        </w:rPr>
      </w:pPr>
    </w:p>
    <w:tbl>
      <w:tblPr>
        <w:tblStyle w:val="10"/>
        <w:tblW w:w="8891"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554"/>
        <w:gridCol w:w="3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77" w:type="dxa"/>
            <w:shd w:val="clear" w:color="auto" w:fill="D9D9D9"/>
            <w:vAlign w:val="center"/>
          </w:tcPr>
          <w:p>
            <w:pPr>
              <w:jc w:val="center"/>
              <w:rPr>
                <w:rFonts w:ascii="仿宋" w:hAnsi="仿宋" w:eastAsia="仿宋"/>
                <w:b/>
              </w:rPr>
            </w:pPr>
            <w:r>
              <w:rPr>
                <w:rFonts w:hint="eastAsia" w:ascii="仿宋" w:hAnsi="仿宋" w:eastAsia="仿宋"/>
                <w:b/>
              </w:rPr>
              <w:t>阶段</w:t>
            </w:r>
          </w:p>
        </w:tc>
        <w:tc>
          <w:tcPr>
            <w:tcW w:w="3554" w:type="dxa"/>
            <w:shd w:val="clear" w:color="auto" w:fill="D9D9D9"/>
            <w:vAlign w:val="center"/>
          </w:tcPr>
          <w:p>
            <w:pPr>
              <w:jc w:val="center"/>
              <w:rPr>
                <w:rFonts w:ascii="仿宋" w:hAnsi="仿宋" w:eastAsia="仿宋"/>
                <w:b/>
              </w:rPr>
            </w:pPr>
            <w:r>
              <w:rPr>
                <w:rFonts w:hint="eastAsia" w:ascii="仿宋" w:hAnsi="仿宋" w:eastAsia="仿宋"/>
                <w:b/>
              </w:rPr>
              <w:t>净值增长率（%）</w:t>
            </w:r>
          </w:p>
        </w:tc>
        <w:tc>
          <w:tcPr>
            <w:tcW w:w="3560" w:type="dxa"/>
            <w:shd w:val="clear" w:color="auto" w:fill="D9D9D9"/>
            <w:vAlign w:val="center"/>
          </w:tcPr>
          <w:p>
            <w:pPr>
              <w:jc w:val="center"/>
              <w:rPr>
                <w:rFonts w:ascii="仿宋" w:hAnsi="仿宋" w:eastAsia="仿宋"/>
                <w:b/>
              </w:rPr>
            </w:pPr>
            <w:r>
              <w:rPr>
                <w:rFonts w:hint="eastAsia" w:ascii="仿宋" w:hAnsi="仿宋" w:eastAsia="仿宋"/>
                <w:b/>
              </w:rPr>
              <w:t>业绩比较</w:t>
            </w:r>
            <w:r>
              <w:rPr>
                <w:rFonts w:ascii="仿宋" w:hAnsi="仿宋" w:eastAsia="仿宋"/>
                <w:b/>
              </w:rPr>
              <w:t>基准</w:t>
            </w:r>
            <w:r>
              <w:rPr>
                <w:rFonts w:hint="eastAsia" w:ascii="仿宋" w:hAnsi="仿宋" w:eastAsia="仿宋"/>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keepNext w:val="0"/>
              <w:keepLines w:val="0"/>
              <w:widowControl/>
              <w:suppressLineNumbers w:val="0"/>
              <w:jc w:val="center"/>
              <w:textAlignment w:val="center"/>
              <w:rPr>
                <w:rFonts w:ascii="仿宋" w:hAnsi="仿宋" w:eastAsia="仿宋"/>
              </w:rPr>
            </w:pPr>
            <w:r>
              <w:rPr>
                <w:rFonts w:hint="eastAsia" w:ascii="仿宋" w:hAnsi="仿宋" w:eastAsia="仿宋" w:cs="仿宋"/>
                <w:i w:val="0"/>
                <w:color w:val="000000"/>
                <w:kern w:val="0"/>
                <w:sz w:val="22"/>
                <w:szCs w:val="22"/>
                <w:u w:val="none"/>
                <w:lang w:val="en-US" w:eastAsia="zh-CN" w:bidi="ar"/>
              </w:rPr>
              <w:t>当期（2022-10-1至2022-12-31）</w:t>
            </w:r>
          </w:p>
        </w:tc>
        <w:tc>
          <w:tcPr>
            <w:tcW w:w="3554"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0.64 </w:t>
            </w:r>
          </w:p>
        </w:tc>
        <w:tc>
          <w:tcPr>
            <w:tcW w:w="3560"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1.13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keepNext w:val="0"/>
              <w:keepLines w:val="0"/>
              <w:widowControl/>
              <w:suppressLineNumbers w:val="0"/>
              <w:jc w:val="center"/>
              <w:textAlignment w:val="center"/>
              <w:rPr>
                <w:rFonts w:ascii="仿宋" w:hAnsi="仿宋" w:eastAsia="仿宋"/>
              </w:rPr>
            </w:pPr>
            <w:r>
              <w:rPr>
                <w:rFonts w:hint="eastAsia" w:ascii="仿宋" w:hAnsi="仿宋" w:eastAsia="仿宋" w:cs="仿宋"/>
                <w:i w:val="0"/>
                <w:color w:val="000000"/>
                <w:kern w:val="0"/>
                <w:sz w:val="22"/>
                <w:szCs w:val="22"/>
                <w:u w:val="none"/>
                <w:lang w:val="en-US" w:eastAsia="zh-CN" w:bidi="ar"/>
              </w:rPr>
              <w:t>自产品成立日至今</w:t>
            </w:r>
          </w:p>
        </w:tc>
        <w:tc>
          <w:tcPr>
            <w:tcW w:w="3554"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2.34 </w:t>
            </w:r>
          </w:p>
        </w:tc>
        <w:tc>
          <w:tcPr>
            <w:tcW w:w="3560"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2.31 </w:t>
            </w:r>
          </w:p>
        </w:tc>
      </w:tr>
    </w:tbl>
    <w:p>
      <w:pPr>
        <w:spacing w:before="156" w:beforeLines="50" w:line="360" w:lineRule="exact"/>
        <w:rPr>
          <w:rFonts w:ascii="仿宋" w:hAnsi="仿宋" w:eastAsia="仿宋"/>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3</w:t>
      </w:r>
      <w:r>
        <w:rPr>
          <w:rFonts w:hint="eastAsia" w:ascii="仿宋" w:hAnsi="仿宋" w:eastAsia="仿宋"/>
        </w:rPr>
        <w:t>产品累计份额净值增长率与同期业绩比较基准收益率变动比较走势图</w:t>
      </w:r>
    </w:p>
    <w:p>
      <w:pPr>
        <w:spacing w:before="156" w:beforeLines="50" w:after="156" w:afterLines="50" w:line="360" w:lineRule="auto"/>
        <w:jc w:val="center"/>
        <w:rPr>
          <w:rFonts w:ascii="宋体" w:hAnsi="宋体" w:eastAsia="宋体"/>
          <w:b/>
          <w:sz w:val="24"/>
          <w:szCs w:val="24"/>
        </w:rPr>
      </w:pPr>
      <w:r>
        <w:drawing>
          <wp:inline distT="0" distB="0" distL="114300" distR="114300">
            <wp:extent cx="4904740" cy="2904490"/>
            <wp:effectExtent l="4445" t="4445" r="5715" b="571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r>
        <w:rPr>
          <w:rFonts w:hint="default"/>
          <w:sz w:val="24"/>
        </w:rPr>
        <w:t xml:space="preserve"> </w:t>
      </w: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4</w:t>
      </w:r>
      <w:r>
        <w:rPr>
          <w:rFonts w:hint="eastAsia" w:ascii="宋体" w:hAnsi="宋体" w:eastAsia="宋体"/>
          <w:b/>
          <w:sz w:val="24"/>
          <w:szCs w:val="24"/>
        </w:rPr>
        <w:t xml:space="preserve"> 管理人报告</w:t>
      </w:r>
    </w:p>
    <w:p>
      <w:pPr>
        <w:spacing w:before="156" w:beforeLines="50" w:line="360" w:lineRule="exact"/>
        <w:rPr>
          <w:rFonts w:hint="eastAsia" w:ascii="仿宋" w:hAnsi="仿宋" w:eastAsia="仿宋"/>
          <w:b/>
          <w:color w:val="000000"/>
        </w:rPr>
      </w:pPr>
      <w:r>
        <w:rPr>
          <w:rFonts w:ascii="仿宋" w:hAnsi="仿宋" w:eastAsia="仿宋"/>
          <w:b/>
          <w:color w:val="000000"/>
        </w:rPr>
        <w:t xml:space="preserve">4.1 </w:t>
      </w:r>
      <w:r>
        <w:rPr>
          <w:rFonts w:hint="eastAsia" w:ascii="仿宋" w:hAnsi="仿宋" w:eastAsia="仿宋"/>
          <w:b/>
          <w:color w:val="000000"/>
        </w:rPr>
        <w:t>报告期内产品投资策略和运作分析</w:t>
      </w:r>
    </w:p>
    <w:p>
      <w:pPr>
        <w:spacing w:before="156" w:beforeLines="50" w:line="360" w:lineRule="exact"/>
        <w:ind w:firstLine="420" w:firstLineChars="200"/>
        <w:rPr>
          <w:rFonts w:hint="eastAsia" w:ascii="仿宋" w:hAnsi="仿宋" w:eastAsia="仿宋"/>
          <w:color w:val="000000"/>
          <w:szCs w:val="21"/>
        </w:rPr>
      </w:pPr>
      <w:r>
        <w:rPr>
          <w:rFonts w:hint="eastAsia" w:ascii="仿宋" w:hAnsi="仿宋" w:eastAsia="仿宋"/>
          <w:color w:val="000000"/>
          <w:szCs w:val="21"/>
        </w:rPr>
        <w:t>产品设立严格符合资管新规要求，投资策略为持有到期。持仓债券全部为主体评级AA以上国有企业，信用风险较低。</w:t>
      </w:r>
    </w:p>
    <w:p>
      <w:pPr>
        <w:spacing w:before="156" w:beforeLines="50" w:line="360" w:lineRule="exact"/>
        <w:ind w:firstLine="420" w:firstLineChars="200"/>
        <w:rPr>
          <w:rFonts w:ascii="仿宋" w:hAnsi="仿宋" w:eastAsia="仿宋"/>
        </w:rPr>
      </w:pPr>
      <w:r>
        <w:rPr>
          <w:rFonts w:hint="eastAsia" w:ascii="仿宋" w:hAnsi="仿宋" w:eastAsia="仿宋"/>
          <w:color w:val="000000"/>
          <w:szCs w:val="21"/>
        </w:rPr>
        <w:t>产品自20</w:t>
      </w:r>
      <w:r>
        <w:rPr>
          <w:rFonts w:hint="eastAsia" w:ascii="仿宋" w:hAnsi="仿宋" w:eastAsia="仿宋"/>
          <w:color w:val="000000"/>
          <w:szCs w:val="21"/>
          <w:lang w:val="en-US" w:eastAsia="zh-CN"/>
        </w:rPr>
        <w:t>22</w:t>
      </w:r>
      <w:r>
        <w:rPr>
          <w:rFonts w:hint="eastAsia" w:ascii="仿宋" w:hAnsi="仿宋" w:eastAsia="仿宋"/>
          <w:color w:val="000000"/>
          <w:szCs w:val="21"/>
        </w:rPr>
        <w:t>年</w:t>
      </w:r>
      <w:r>
        <w:rPr>
          <w:rFonts w:hint="eastAsia" w:ascii="仿宋" w:hAnsi="仿宋" w:eastAsia="仿宋"/>
          <w:color w:val="000000"/>
          <w:szCs w:val="21"/>
          <w:lang w:val="en-US" w:eastAsia="zh-CN"/>
        </w:rPr>
        <w:t>6</w:t>
      </w:r>
      <w:r>
        <w:rPr>
          <w:rFonts w:hint="eastAsia" w:ascii="仿宋" w:hAnsi="仿宋" w:eastAsia="仿宋"/>
          <w:color w:val="000000"/>
          <w:szCs w:val="21"/>
        </w:rPr>
        <w:t>月成立以来，累计管理规模</w:t>
      </w:r>
      <w:r>
        <w:rPr>
          <w:rFonts w:hint="eastAsia" w:ascii="仿宋" w:hAnsi="仿宋" w:eastAsia="仿宋"/>
          <w:color w:val="000000"/>
          <w:szCs w:val="21"/>
          <w:lang w:val="en-US" w:eastAsia="zh-CN"/>
        </w:rPr>
        <w:t>1.23</w:t>
      </w:r>
      <w:r>
        <w:rPr>
          <w:rFonts w:hint="eastAsia" w:ascii="仿宋" w:hAnsi="仿宋" w:eastAsia="仿宋"/>
          <w:color w:val="000000"/>
          <w:szCs w:val="21"/>
        </w:rPr>
        <w:t>亿元，截止2022年</w:t>
      </w:r>
      <w:r>
        <w:rPr>
          <w:rFonts w:hint="eastAsia" w:ascii="仿宋" w:hAnsi="仿宋" w:eastAsia="仿宋"/>
          <w:color w:val="000000"/>
          <w:szCs w:val="21"/>
          <w:lang w:val="en-US" w:eastAsia="zh-CN"/>
        </w:rPr>
        <w:t>12</w:t>
      </w:r>
      <w:r>
        <w:rPr>
          <w:rFonts w:hint="eastAsia" w:ascii="仿宋" w:hAnsi="仿宋" w:eastAsia="仿宋"/>
          <w:color w:val="000000"/>
          <w:szCs w:val="21"/>
        </w:rPr>
        <w:t>月3</w:t>
      </w:r>
      <w:r>
        <w:rPr>
          <w:rFonts w:hint="eastAsia" w:ascii="仿宋" w:hAnsi="仿宋" w:eastAsia="仿宋"/>
          <w:color w:val="000000"/>
          <w:szCs w:val="21"/>
          <w:lang w:val="en-US" w:eastAsia="zh-CN"/>
        </w:rPr>
        <w:t>1</w:t>
      </w:r>
      <w:r>
        <w:rPr>
          <w:rFonts w:hint="eastAsia" w:ascii="仿宋" w:hAnsi="仿宋" w:eastAsia="仿宋"/>
          <w:color w:val="000000"/>
          <w:szCs w:val="21"/>
        </w:rPr>
        <w:t>日，净值</w:t>
      </w:r>
      <w:r>
        <w:rPr>
          <w:rFonts w:hint="eastAsia" w:ascii="仿宋" w:hAnsi="仿宋" w:eastAsia="仿宋"/>
          <w:szCs w:val="21"/>
          <w:shd w:val="clear" w:color="auto" w:fill="FFFFFF"/>
        </w:rPr>
        <w:t>1.0234</w:t>
      </w:r>
      <w:r>
        <w:rPr>
          <w:rFonts w:hint="eastAsia" w:ascii="仿宋" w:hAnsi="仿宋" w:eastAsia="仿宋"/>
          <w:color w:val="000000"/>
          <w:szCs w:val="21"/>
        </w:rPr>
        <w:t>，整体杠杆率</w:t>
      </w:r>
      <w:r>
        <w:rPr>
          <w:rFonts w:hint="eastAsia" w:ascii="仿宋" w:hAnsi="仿宋" w:eastAsia="仿宋"/>
          <w:color w:val="000000"/>
          <w:szCs w:val="21"/>
          <w:lang w:val="en-US" w:eastAsia="zh-CN"/>
        </w:rPr>
        <w:t>100</w:t>
      </w:r>
      <w:r>
        <w:rPr>
          <w:rFonts w:hint="eastAsia" w:ascii="仿宋" w:hAnsi="仿宋" w:eastAsia="仿宋"/>
          <w:color w:val="000000"/>
          <w:szCs w:val="21"/>
        </w:rPr>
        <w:t>%左右。</w:t>
      </w:r>
    </w:p>
    <w:p>
      <w:pPr>
        <w:spacing w:before="156" w:beforeLines="50" w:line="360" w:lineRule="exact"/>
        <w:rPr>
          <w:rFonts w:ascii="仿宋" w:hAnsi="仿宋" w:eastAsia="仿宋"/>
          <w:b/>
          <w:color w:val="000000"/>
        </w:rPr>
      </w:pPr>
      <w:r>
        <w:rPr>
          <w:rFonts w:ascii="仿宋" w:hAnsi="仿宋" w:eastAsia="仿宋"/>
          <w:b/>
          <w:color w:val="000000"/>
        </w:rPr>
        <w:t xml:space="preserve">4.2 </w:t>
      </w:r>
      <w:r>
        <w:rPr>
          <w:rFonts w:hint="eastAsia" w:ascii="仿宋" w:hAnsi="仿宋" w:eastAsia="仿宋"/>
          <w:b/>
          <w:color w:val="000000"/>
        </w:rPr>
        <w:t>报告期内产品的业绩表现</w:t>
      </w:r>
    </w:p>
    <w:p>
      <w:pPr>
        <w:spacing w:before="156" w:beforeLines="50" w:line="360" w:lineRule="exact"/>
        <w:ind w:firstLine="420" w:firstLineChars="200"/>
        <w:rPr>
          <w:rFonts w:ascii="仿宋" w:hAnsi="仿宋" w:eastAsia="仿宋"/>
        </w:rPr>
      </w:pPr>
      <w:r>
        <w:rPr>
          <w:rFonts w:ascii="仿宋" w:hAnsi="仿宋" w:eastAsia="仿宋"/>
          <w:color w:val="000000"/>
          <w:szCs w:val="21"/>
        </w:rPr>
        <w:t>在报告期内</w:t>
      </w:r>
      <w:r>
        <w:rPr>
          <w:rFonts w:hint="eastAsia" w:ascii="仿宋" w:hAnsi="仿宋" w:eastAsia="仿宋"/>
          <w:color w:val="000000"/>
          <w:szCs w:val="21"/>
        </w:rPr>
        <w:t>，</w:t>
      </w:r>
      <w:r>
        <w:rPr>
          <w:rFonts w:ascii="仿宋" w:hAnsi="仿宋" w:eastAsia="仿宋"/>
          <w:color w:val="000000"/>
          <w:szCs w:val="21"/>
        </w:rPr>
        <w:t>产品份额净值增长率为</w:t>
      </w:r>
      <w:r>
        <w:rPr>
          <w:rFonts w:hint="eastAsia" w:ascii="仿宋" w:hAnsi="仿宋" w:eastAsia="仿宋"/>
          <w:color w:val="000000"/>
          <w:szCs w:val="21"/>
          <w:lang w:val="en-US" w:eastAsia="zh-CN"/>
        </w:rPr>
        <w:t>0.64</w:t>
      </w:r>
      <w:r>
        <w:rPr>
          <w:rFonts w:ascii="仿宋" w:hAnsi="仿宋" w:eastAsia="仿宋"/>
          <w:color w:val="000000"/>
          <w:szCs w:val="21"/>
        </w:rPr>
        <w:t>%</w:t>
      </w:r>
      <w:r>
        <w:rPr>
          <w:rFonts w:hint="eastAsia" w:ascii="仿宋" w:hAnsi="仿宋" w:eastAsia="仿宋"/>
          <w:color w:val="000000"/>
          <w:szCs w:val="21"/>
        </w:rPr>
        <w:t>。</w:t>
      </w:r>
      <w:r>
        <w:rPr>
          <w:rFonts w:ascii="仿宋" w:hAnsi="仿宋" w:eastAsia="仿宋"/>
          <w:color w:val="000000"/>
          <w:szCs w:val="21"/>
        </w:rPr>
        <w:t>报告期内</w:t>
      </w:r>
      <w:r>
        <w:rPr>
          <w:rFonts w:hint="eastAsia" w:ascii="仿宋" w:hAnsi="仿宋" w:eastAsia="仿宋"/>
          <w:color w:val="000000"/>
          <w:szCs w:val="21"/>
        </w:rPr>
        <w:t>，</w:t>
      </w:r>
      <w:r>
        <w:rPr>
          <w:rFonts w:ascii="仿宋" w:hAnsi="仿宋" w:eastAsia="仿宋"/>
          <w:color w:val="000000"/>
          <w:szCs w:val="21"/>
        </w:rPr>
        <w:t>本期产品配置债券价格整体波动不大</w:t>
      </w:r>
      <w:r>
        <w:rPr>
          <w:rFonts w:hint="eastAsia" w:ascii="仿宋" w:hAnsi="仿宋" w:eastAsia="仿宋"/>
          <w:color w:val="000000"/>
          <w:szCs w:val="21"/>
        </w:rPr>
        <w:t>，</w:t>
      </w:r>
      <w:r>
        <w:rPr>
          <w:rFonts w:ascii="仿宋" w:hAnsi="仿宋" w:eastAsia="仿宋"/>
          <w:color w:val="000000"/>
          <w:szCs w:val="21"/>
        </w:rPr>
        <w:t>在可控范围内</w:t>
      </w:r>
      <w:r>
        <w:rPr>
          <w:rFonts w:hint="eastAsia" w:ascii="仿宋" w:hAnsi="仿宋" w:eastAsia="仿宋"/>
          <w:color w:val="000000"/>
          <w:szCs w:val="21"/>
        </w:rPr>
        <w:t>。</w:t>
      </w:r>
    </w:p>
    <w:p>
      <w:pPr>
        <w:spacing w:before="156" w:beforeLines="50" w:line="360" w:lineRule="exact"/>
        <w:rPr>
          <w:rFonts w:hint="eastAsia" w:ascii="仿宋" w:hAnsi="仿宋" w:eastAsia="仿宋"/>
          <w:b/>
          <w:color w:val="000000"/>
        </w:rPr>
      </w:pPr>
      <w:r>
        <w:rPr>
          <w:rFonts w:ascii="仿宋" w:hAnsi="仿宋" w:eastAsia="仿宋"/>
          <w:b/>
          <w:color w:val="000000"/>
        </w:rPr>
        <w:t>4.3</w:t>
      </w:r>
      <w:r>
        <w:rPr>
          <w:rFonts w:hint="eastAsia" w:ascii="仿宋" w:hAnsi="仿宋" w:eastAsia="仿宋"/>
          <w:b/>
          <w:color w:val="000000"/>
        </w:rPr>
        <w:t>报告期内产品主要投资风险</w:t>
      </w:r>
    </w:p>
    <w:p>
      <w:pPr>
        <w:spacing w:before="156" w:beforeLines="50" w:line="360" w:lineRule="exact"/>
        <w:ind w:firstLine="420" w:firstLineChars="200"/>
        <w:rPr>
          <w:rFonts w:ascii="仿宋" w:hAnsi="仿宋" w:eastAsia="仿宋"/>
          <w:color w:val="000000"/>
          <w:szCs w:val="21"/>
        </w:rPr>
      </w:pPr>
      <w:r>
        <w:rPr>
          <w:rFonts w:hint="eastAsia" w:ascii="仿宋" w:hAnsi="仿宋" w:eastAsia="仿宋"/>
          <w:color w:val="000000"/>
          <w:szCs w:val="21"/>
        </w:rPr>
        <w:t>产品的投资品种价格受经济因素、政治因素、投资心理和交易制度等各种因素影响引起波动，导致收益水平变化产生风险。主要包括：政策风险、经济周期风险、利率风险、信用风险、再投资风险等。</w:t>
      </w:r>
    </w:p>
    <w:p>
      <w:pPr>
        <w:spacing w:before="156" w:beforeLines="50" w:after="156" w:afterLines="50" w:line="360" w:lineRule="auto"/>
        <w:jc w:val="center"/>
        <w:rPr>
          <w:rFonts w:ascii="宋体" w:hAnsi="宋体" w:eastAsia="宋体"/>
          <w:b/>
          <w:sz w:val="24"/>
          <w:szCs w:val="24"/>
        </w:rPr>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5</w:t>
      </w:r>
      <w:r>
        <w:rPr>
          <w:rFonts w:hint="eastAsia" w:ascii="宋体" w:hAnsi="宋体" w:eastAsia="宋体"/>
          <w:b/>
          <w:sz w:val="24"/>
          <w:szCs w:val="24"/>
        </w:rPr>
        <w:t xml:space="preserve"> 投资组合报告</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1期末直接前十项持仓资产情况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134" w:hRule="atLeast"/>
        </w:trPr>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000000"/>
                <w:kern w:val="0"/>
                <w:sz w:val="21"/>
                <w:szCs w:val="21"/>
                <w:u w:val="none"/>
                <w:lang w:val="en-US" w:eastAsia="zh-CN" w:bidi="ar"/>
              </w:rPr>
              <w:t>鑫沅鑫梅花456号计划</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000000"/>
                <w:kern w:val="0"/>
                <w:sz w:val="21"/>
                <w:szCs w:val="21"/>
                <w:u w:val="none"/>
                <w:lang w:val="en-US" w:eastAsia="zh-CN" w:bidi="ar"/>
              </w:rPr>
              <w:t>48,136,482.61</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000000"/>
                <w:kern w:val="0"/>
                <w:sz w:val="21"/>
                <w:szCs w:val="21"/>
                <w:u w:val="none"/>
                <w:lang w:val="en-US" w:eastAsia="zh-CN" w:bidi="ar"/>
              </w:rPr>
              <w:t xml:space="preserve">39.08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center"/>
          </w:tcPr>
          <w:p>
            <w:pPr>
              <w:keepNext w:val="0"/>
              <w:keepLines w:val="0"/>
              <w:widowControl/>
              <w:suppressLineNumbers w:val="0"/>
              <w:jc w:val="center"/>
              <w:textAlignment w:val="center"/>
              <w:rPr>
                <w:rFonts w:hint="default"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000000"/>
                <w:kern w:val="0"/>
                <w:sz w:val="21"/>
                <w:szCs w:val="21"/>
                <w:u w:val="none"/>
                <w:lang w:val="en-US" w:eastAsia="zh-CN" w:bidi="ar"/>
              </w:rPr>
              <w:t>国民信托-通汇1号13期</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34,210,886.68</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000000"/>
                <w:kern w:val="0"/>
                <w:sz w:val="21"/>
                <w:szCs w:val="21"/>
                <w:u w:val="none"/>
                <w:lang w:val="en-US" w:eastAsia="zh-CN" w:bidi="ar"/>
              </w:rPr>
              <w:t xml:space="preserve">27.77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世纪证券聚利5号</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21,208,048.11</w:t>
            </w:r>
          </w:p>
        </w:tc>
        <w:tc>
          <w:tcPr>
            <w:tcW w:w="2113"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 xml:space="preserve">17.22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center"/>
          </w:tcPr>
          <w:p>
            <w:pPr>
              <w:jc w:val="center"/>
              <w:rPr>
                <w:rFonts w:hint="default" w:ascii="仿宋" w:hAnsi="仿宋" w:eastAsia="仿宋"/>
                <w:color w:val="auto"/>
                <w:szCs w:val="21"/>
                <w:lang w:val="en-US" w:eastAsia="zh-CN"/>
              </w:rPr>
            </w:pPr>
            <w:r>
              <w:rPr>
                <w:rFonts w:hint="eastAsia" w:ascii="仿宋" w:hAnsi="仿宋" w:eastAsia="仿宋"/>
                <w:color w:val="auto"/>
                <w:szCs w:val="21"/>
                <w:lang w:val="en-US" w:eastAsia="zh-CN"/>
              </w:rPr>
              <w:t>4</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000000"/>
                <w:kern w:val="0"/>
                <w:sz w:val="21"/>
                <w:szCs w:val="21"/>
                <w:u w:val="none"/>
                <w:lang w:val="en-US" w:eastAsia="zh-CN" w:bidi="ar"/>
              </w:rPr>
              <w:t>贵鑫财富1号资管计划</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19,633,080.58</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000000"/>
                <w:kern w:val="0"/>
                <w:sz w:val="21"/>
                <w:szCs w:val="21"/>
                <w:u w:val="none"/>
                <w:lang w:val="en-US" w:eastAsia="zh-CN" w:bidi="ar"/>
              </w:rPr>
              <w:t xml:space="preserve">15.94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center"/>
          </w:tcPr>
          <w:p>
            <w:pPr>
              <w:jc w:val="center"/>
              <w:rPr>
                <w:rFonts w:hint="eastAsia" w:ascii="仿宋" w:hAnsi="仿宋" w:eastAsia="仿宋"/>
                <w:color w:val="auto"/>
                <w:szCs w:val="21"/>
                <w:lang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123,188,497.98</w:t>
            </w:r>
          </w:p>
        </w:tc>
        <w:tc>
          <w:tcPr>
            <w:tcW w:w="2113"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100</w:t>
            </w:r>
          </w:p>
        </w:tc>
      </w:tr>
    </w:tbl>
    <w:p>
      <w:pPr>
        <w:spacing w:before="156" w:beforeLines="50" w:after="156" w:afterLines="50" w:line="360" w:lineRule="auto"/>
        <w:rPr>
          <w:rFonts w:ascii="仿宋" w:hAnsi="仿宋" w:eastAsia="仿宋"/>
          <w:b/>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2期末理财产品资产组合情况</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.1</w:t>
      </w:r>
      <w:r>
        <w:rPr>
          <w:rFonts w:hint="eastAsia" w:ascii="仿宋" w:hAnsi="仿宋" w:eastAsia="仿宋"/>
        </w:rPr>
        <w:t>期末理财产品直接投资资产组合情况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88"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21"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1</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72"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2</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3</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4</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资管产品投资</w:t>
            </w:r>
          </w:p>
        </w:tc>
        <w:tc>
          <w:tcPr>
            <w:tcW w:w="2138" w:type="dxa"/>
            <w:tcBorders>
              <w:top w:val="single" w:color="auto" w:sz="2" w:space="0"/>
              <w:left w:val="single" w:color="auto" w:sz="2" w:space="0"/>
              <w:bottom w:val="single" w:color="auto" w:sz="2" w:space="0"/>
              <w:right w:val="single" w:color="auto" w:sz="2" w:space="0"/>
            </w:tcBorders>
            <w:vAlign w:val="bottom"/>
          </w:tcPr>
          <w:p>
            <w:pPr>
              <w:keepNext w:val="0"/>
              <w:keepLines w:val="0"/>
              <w:widowControl/>
              <w:suppressLineNumbers w:val="0"/>
              <w:jc w:val="center"/>
              <w:textAlignment w:val="bottom"/>
              <w:rPr>
                <w:rFonts w:hint="eastAsia" w:ascii="仿宋" w:hAnsi="仿宋" w:eastAsia="仿宋"/>
                <w:color w:val="auto"/>
                <w:szCs w:val="21"/>
                <w:lang w:eastAsia="zh-CN"/>
              </w:rPr>
            </w:pPr>
            <w:r>
              <w:rPr>
                <w:rFonts w:hint="eastAsia" w:ascii="仿宋" w:hAnsi="仿宋" w:eastAsia="仿宋" w:cs="仿宋"/>
                <w:i w:val="0"/>
                <w:color w:val="auto"/>
                <w:kern w:val="0"/>
                <w:sz w:val="21"/>
                <w:szCs w:val="21"/>
                <w:u w:val="none"/>
                <w:lang w:val="en-US" w:eastAsia="zh-CN" w:bidi="ar"/>
              </w:rPr>
              <w:t>123,188,497.98</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lang w:val="en-US"/>
              </w:rPr>
            </w:pPr>
            <w:r>
              <w:rPr>
                <w:rFonts w:hint="eastAsia" w:ascii="仿宋" w:hAnsi="仿宋" w:eastAsia="仿宋" w:cs="仿宋"/>
                <w:i w:val="0"/>
                <w:color w:val="auto"/>
                <w:kern w:val="0"/>
                <w:sz w:val="21"/>
                <w:szCs w:val="21"/>
                <w:u w:val="none"/>
                <w:lang w:val="en-US" w:eastAsia="zh-CN" w:bidi="ar"/>
              </w:rPr>
              <w:t xml:space="preserve">100.00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5</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6</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7</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3.61</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8</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123,188,501.59</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lang w:val="en-US"/>
              </w:rPr>
            </w:pPr>
            <w:r>
              <w:rPr>
                <w:rFonts w:hint="eastAsia" w:ascii="仿宋" w:hAnsi="仿宋" w:eastAsia="仿宋" w:cs="仿宋"/>
                <w:i w:val="0"/>
                <w:color w:val="auto"/>
                <w:kern w:val="0"/>
                <w:sz w:val="21"/>
                <w:szCs w:val="21"/>
                <w:u w:val="none"/>
                <w:lang w:val="en-US" w:eastAsia="zh-CN" w:bidi="ar"/>
              </w:rPr>
              <w:t xml:space="preserve">100.00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.2</w:t>
      </w:r>
      <w:r>
        <w:rPr>
          <w:rFonts w:hint="eastAsia" w:ascii="仿宋" w:hAnsi="仿宋" w:eastAsia="仿宋"/>
        </w:rPr>
        <w:t>期末理财产品间接投资资产组合情况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105,562,897.78</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85.69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2</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3</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4</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资管产品投资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5</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6</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10,720,119.99</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8.70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7</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1,563,440.96</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1.27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8</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5,342,039.24</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4.34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123,188,497.98</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100.00 </w:t>
            </w:r>
          </w:p>
        </w:tc>
      </w:tr>
    </w:tbl>
    <w:p>
      <w:pPr>
        <w:spacing w:before="156" w:beforeLines="50" w:after="156" w:afterLines="50" w:line="360" w:lineRule="auto"/>
        <w:rPr>
          <w:rFonts w:ascii="仿宋" w:hAnsi="仿宋" w:eastAsia="仿宋"/>
        </w:rPr>
      </w:pP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rPr>
      </w:pPr>
      <w:r>
        <w:rPr>
          <w:rFonts w:ascii="仿宋" w:hAnsi="仿宋" w:eastAsia="仿宋"/>
        </w:rPr>
        <w:t>5.2.</w:t>
      </w:r>
      <w:r>
        <w:rPr>
          <w:rFonts w:hint="eastAsia" w:ascii="仿宋" w:hAnsi="仿宋" w:eastAsia="仿宋"/>
        </w:rPr>
        <w:t>3期末间接投资前十项持仓资产情况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GC002</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10,720,119.99</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8.70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2</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H9中金05</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10,471,706.58</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8.50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3</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20中天金融MTN001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10,233,599.06</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8.31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4</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H9中金03</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5,352,667.96</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4.35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5</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19佳源03</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4,645,816.30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3.77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6</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22贵安G1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4,251,751.08</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3.45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7</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21哈尔滨银行永续债02</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3,201,160.79</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2.60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8</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21安投01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2,656,975.68</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2.16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9</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20文旅01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2,603,614.29</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2.11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10</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22海南银行永续债01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2,581,597.43</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2.10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jc w:val="center"/>
              <w:rPr>
                <w:rFonts w:hint="eastAsia" w:ascii="仿宋" w:hAnsi="仿宋" w:eastAsia="仿宋"/>
                <w:szCs w:val="21"/>
                <w:lang w:val="en-US"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56,719,009.16</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46.04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b/>
        </w:rPr>
      </w:pPr>
      <w:r>
        <w:rPr>
          <w:rFonts w:ascii="仿宋" w:hAnsi="仿宋" w:eastAsia="仿宋"/>
          <w:b/>
        </w:rPr>
        <w:t>5.3</w:t>
      </w:r>
      <w:r>
        <w:rPr>
          <w:rFonts w:hint="eastAsia" w:ascii="仿宋" w:hAnsi="仿宋" w:eastAsia="仿宋"/>
          <w:b/>
        </w:rPr>
        <w:t>所投资非标准化债权类资产情况</w:t>
      </w:r>
    </w:p>
    <w:p>
      <w:pPr>
        <w:spacing w:before="156" w:beforeLines="50" w:after="936" w:afterLines="300" w:line="360" w:lineRule="exact"/>
        <w:rPr>
          <w:rFonts w:ascii="仿宋" w:hAnsi="仿宋" w:eastAsia="仿宋"/>
        </w:rPr>
      </w:pPr>
      <w:r>
        <w:rPr>
          <w:rFonts w:hint="eastAsia" w:ascii="仿宋" w:hAnsi="仿宋" w:eastAsia="仿宋"/>
          <w:color w:val="000000"/>
          <w:szCs w:val="21"/>
        </w:rPr>
        <w:tab/>
      </w:r>
      <w:r>
        <w:rPr>
          <w:rFonts w:hint="eastAsia" w:ascii="仿宋" w:hAnsi="仿宋" w:eastAsia="仿宋"/>
          <w:color w:val="000000"/>
          <w:szCs w:val="21"/>
        </w:rPr>
        <w:t xml:space="preserve">本报告期内，本理财计划未投资非标准化债权类资产。 </w:t>
      </w:r>
    </w:p>
    <w:p>
      <w:pPr>
        <w:spacing w:before="156" w:beforeLines="50" w:after="156" w:afterLines="50" w:line="360" w:lineRule="auto"/>
        <w:rPr>
          <w:rFonts w:hint="eastAsia" w:ascii="仿宋" w:hAnsi="仿宋" w:eastAsia="仿宋"/>
          <w:b/>
        </w:rPr>
      </w:pPr>
      <w:r>
        <w:rPr>
          <w:rFonts w:ascii="仿宋" w:hAnsi="仿宋" w:eastAsia="仿宋"/>
          <w:b/>
        </w:rPr>
        <w:t>5.4</w:t>
      </w:r>
      <w:r>
        <w:rPr>
          <w:rFonts w:hint="eastAsia" w:ascii="仿宋" w:hAnsi="仿宋" w:eastAsia="仿宋"/>
          <w:b/>
        </w:rPr>
        <w:t>投资组合的流动性风险分析</w:t>
      </w:r>
    </w:p>
    <w:p>
      <w:pPr>
        <w:spacing w:before="156" w:beforeLines="50" w:after="156" w:afterLines="50" w:line="360" w:lineRule="auto"/>
        <w:rPr>
          <w:rFonts w:hint="eastAsia" w:ascii="仿宋" w:hAnsi="仿宋" w:eastAsia="仿宋"/>
          <w:b/>
        </w:rPr>
      </w:pPr>
      <w:r>
        <w:rPr>
          <w:rFonts w:hint="eastAsia" w:ascii="仿宋" w:hAnsi="仿宋" w:eastAsia="仿宋"/>
          <w:b/>
        </w:rPr>
        <w:tab/>
      </w:r>
      <w:r>
        <w:rPr>
          <w:rFonts w:hint="eastAsia" w:ascii="仿宋" w:hAnsi="仿宋" w:eastAsia="仿宋"/>
          <w:color w:val="000000"/>
          <w:szCs w:val="21"/>
        </w:rPr>
        <w:t>流动性风险是指因市场内部和外部的原因造成计划需要货币资金支付退出资金、计划利益或计划费用时，如果资产管理计划财产不能迅速变成现金，或者变现时对资产管理计划财产净值产生冲击成本，都会影响资产管理计划运作和收益水平。尤其是在资产委托人进行大额退出申请时，如果资产管理计划变现能力差，可能会产生资产管理计划财产调整的困难，导致流动性风险，从而影响资产管理计划财产收益。报告期内持仓品种为银行间和交易所标准化债券，具有较好的流动性，可变现能力较强。同时组合杠杆率未超过1</w:t>
      </w:r>
      <w:r>
        <w:rPr>
          <w:rFonts w:hint="eastAsia" w:ascii="仿宋" w:hAnsi="仿宋" w:eastAsia="仿宋"/>
          <w:color w:val="000000"/>
          <w:szCs w:val="21"/>
          <w:lang w:val="en-US" w:eastAsia="zh-CN"/>
        </w:rPr>
        <w:t>00</w:t>
      </w:r>
      <w:r>
        <w:rPr>
          <w:rFonts w:hint="eastAsia" w:ascii="仿宋" w:hAnsi="仿宋" w:eastAsia="仿宋"/>
          <w:color w:val="000000"/>
          <w:szCs w:val="21"/>
        </w:rPr>
        <w:t>%，整体杠杆水平较低，风险可控。</w:t>
      </w:r>
    </w:p>
    <w:p>
      <w:pPr>
        <w:spacing w:before="156" w:beforeLines="50" w:after="156" w:afterLines="50"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6</w:t>
      </w:r>
      <w:r>
        <w:rPr>
          <w:rFonts w:hint="eastAsia" w:ascii="宋体" w:hAnsi="宋体" w:eastAsia="宋体"/>
          <w:b/>
          <w:sz w:val="24"/>
          <w:szCs w:val="24"/>
        </w:rPr>
        <w:t xml:space="preserve"> 关联交易情况说明</w:t>
      </w:r>
    </w:p>
    <w:p>
      <w:pPr>
        <w:rPr>
          <w:rFonts w:hint="eastAsia" w:ascii="仿宋" w:hAnsi="仿宋" w:eastAsia="仿宋"/>
          <w:color w:val="000000"/>
          <w:szCs w:val="21"/>
          <w:lang w:eastAsia="zh-CN"/>
        </w:rPr>
      </w:pPr>
      <w:r>
        <w:rPr>
          <w:rFonts w:hint="eastAsia" w:ascii="宋体"/>
        </w:rPr>
        <w:tab/>
      </w:r>
      <w:r>
        <w:rPr>
          <w:rFonts w:hint="eastAsia" w:ascii="仿宋" w:hAnsi="仿宋" w:eastAsia="仿宋"/>
          <w:color w:val="000000"/>
          <w:szCs w:val="21"/>
        </w:rPr>
        <w:t>本报告期内，本计划</w:t>
      </w:r>
      <w:r>
        <w:rPr>
          <w:rFonts w:hint="eastAsia" w:ascii="仿宋" w:hAnsi="仿宋" w:eastAsia="仿宋"/>
          <w:color w:val="000000"/>
          <w:szCs w:val="21"/>
          <w:lang w:eastAsia="zh-CN"/>
        </w:rPr>
        <w:t>未</w:t>
      </w:r>
      <w:r>
        <w:rPr>
          <w:rFonts w:hint="eastAsia" w:ascii="仿宋" w:hAnsi="仿宋" w:eastAsia="仿宋"/>
          <w:color w:val="000000"/>
          <w:szCs w:val="21"/>
        </w:rPr>
        <w:t>发生关联交易。</w:t>
      </w:r>
    </w:p>
    <w:p>
      <w:pPr>
        <w:spacing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7</w:t>
      </w:r>
      <w:r>
        <w:rPr>
          <w:rFonts w:hint="eastAsia" w:ascii="宋体" w:hAnsi="宋体" w:eastAsia="宋体"/>
          <w:b/>
          <w:sz w:val="24"/>
          <w:szCs w:val="24"/>
        </w:rPr>
        <w:t xml:space="preserve">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7.1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rPr>
      </w:pPr>
      <w:r>
        <w:rPr>
          <w:rFonts w:hint="eastAsia" w:ascii="仿宋" w:hAnsi="仿宋" w:eastAsia="仿宋"/>
          <w:color w:val="000000"/>
          <w:szCs w:val="21"/>
        </w:rPr>
        <w:t>7.2其他事项。</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lang w:val="en-US" w:eastAsia="zh-CN"/>
        </w:rPr>
      </w:pPr>
      <w:r>
        <w:rPr>
          <w:rFonts w:hint="eastAsia" w:ascii="仿宋" w:hAnsi="仿宋" w:eastAsia="仿宋"/>
          <w:color w:val="000000"/>
          <w:szCs w:val="21"/>
        </w:rPr>
        <w:t>查阅方式网站：http://www.gynsh.com咨询电话：0851-</w:t>
      </w:r>
      <w:r>
        <w:rPr>
          <w:rFonts w:hint="eastAsia" w:ascii="仿宋" w:hAnsi="仿宋" w:eastAsia="仿宋"/>
          <w:color w:val="000000"/>
          <w:szCs w:val="21"/>
          <w:lang w:val="en-US" w:eastAsia="zh-CN"/>
        </w:rPr>
        <w:t>88115057</w:t>
      </w:r>
    </w:p>
    <w:p>
      <w:pPr>
        <w:rPr>
          <w:rFonts w:hint="eastAsia" w:ascii="仿宋" w:hAnsi="仿宋" w:eastAsia="仿宋"/>
          <w:color w:val="000000"/>
          <w:szCs w:val="21"/>
        </w:rPr>
      </w:pPr>
    </w:p>
    <w:p>
      <w:pPr>
        <w:rPr>
          <w:rFonts w:hint="eastAsia" w:ascii="仿宋" w:hAnsi="仿宋" w:eastAsia="仿宋"/>
          <w:color w:val="000000"/>
          <w:szCs w:val="21"/>
        </w:rPr>
      </w:pPr>
    </w:p>
    <w:p>
      <w:pPr>
        <w:rPr>
          <w:rFonts w:hint="eastAsia" w:ascii="仿宋" w:hAnsi="仿宋" w:eastAsia="仿宋"/>
          <w:color w:val="000000"/>
          <w:szCs w:val="21"/>
        </w:rPr>
      </w:pPr>
    </w:p>
    <w:p>
      <w:pPr>
        <w:jc w:val="right"/>
        <w:rPr>
          <w:rFonts w:hint="eastAsia" w:ascii="仿宋" w:hAnsi="仿宋" w:eastAsia="仿宋"/>
          <w:color w:val="000000"/>
          <w:szCs w:val="21"/>
        </w:rPr>
      </w:pPr>
      <w:r>
        <w:rPr>
          <w:rFonts w:hint="eastAsia" w:ascii="仿宋" w:hAnsi="仿宋" w:eastAsia="仿宋"/>
          <w:color w:val="000000"/>
          <w:szCs w:val="21"/>
        </w:rPr>
        <w:t xml:space="preserve">贵阳农村商业银行股份有限公司 </w:t>
      </w:r>
    </w:p>
    <w:p>
      <w:pPr>
        <w:jc w:val="right"/>
        <w:rPr>
          <w:rFonts w:hint="eastAsia" w:ascii="仿宋" w:hAnsi="仿宋" w:eastAsia="仿宋"/>
          <w:color w:val="000000"/>
          <w:szCs w:val="21"/>
        </w:rPr>
      </w:pPr>
      <w:r>
        <w:rPr>
          <w:rFonts w:hint="eastAsia" w:ascii="仿宋" w:hAnsi="仿宋" w:eastAsia="仿宋"/>
          <w:color w:val="000000"/>
          <w:szCs w:val="21"/>
        </w:rPr>
        <w:t>202</w:t>
      </w:r>
      <w:r>
        <w:rPr>
          <w:rFonts w:hint="eastAsia" w:ascii="仿宋" w:hAnsi="仿宋" w:eastAsia="仿宋"/>
          <w:color w:val="000000"/>
          <w:szCs w:val="21"/>
          <w:lang w:val="en-US" w:eastAsia="zh-CN"/>
        </w:rPr>
        <w:t>3</w:t>
      </w:r>
      <w:r>
        <w:rPr>
          <w:rFonts w:hint="eastAsia" w:ascii="仿宋" w:hAnsi="仿宋" w:eastAsia="仿宋"/>
          <w:color w:val="000000"/>
          <w:szCs w:val="21"/>
        </w:rPr>
        <w:t>年</w:t>
      </w:r>
      <w:r>
        <w:rPr>
          <w:rFonts w:hint="eastAsia" w:ascii="仿宋" w:hAnsi="仿宋" w:eastAsia="仿宋"/>
          <w:color w:val="000000"/>
          <w:szCs w:val="21"/>
          <w:lang w:val="en-US" w:eastAsia="zh-CN"/>
        </w:rPr>
        <w:t>01</w:t>
      </w:r>
      <w:r>
        <w:rPr>
          <w:rFonts w:hint="eastAsia" w:ascii="仿宋" w:hAnsi="仿宋" w:eastAsia="仿宋"/>
          <w:color w:val="000000"/>
          <w:szCs w:val="21"/>
        </w:rPr>
        <w:t>月</w:t>
      </w:r>
      <w:r>
        <w:rPr>
          <w:rFonts w:hint="eastAsia" w:ascii="仿宋" w:hAnsi="仿宋" w:eastAsia="仿宋"/>
          <w:color w:val="000000"/>
          <w:szCs w:val="21"/>
          <w:lang w:val="en-US" w:eastAsia="zh-CN"/>
        </w:rPr>
        <w:t>15</w:t>
      </w:r>
      <w:r>
        <w:rPr>
          <w:rFonts w:hint="eastAsia" w:ascii="仿宋" w:hAnsi="仿宋" w:eastAsia="仿宋"/>
          <w:color w:val="000000"/>
          <w:szCs w:val="21"/>
        </w:rPr>
        <w:t>日</w:t>
      </w:r>
    </w:p>
    <w:p>
      <w:pPr>
        <w:jc w:val="right"/>
        <w:rPr>
          <w:rFonts w:hint="eastAsia" w:ascii="仿宋" w:hAnsi="仿宋" w:eastAsia="仿宋"/>
          <w:color w:val="000000"/>
          <w:szCs w:val="21"/>
        </w:rPr>
      </w:pPr>
      <w:bookmarkStart w:id="2" w:name="_GoBack"/>
      <w:bookmarkEnd w:id="2"/>
      <w:r>
        <w:rPr>
          <w:rFonts w:hint="eastAsia" w:ascii="仿宋" w:hAnsi="仿宋" w:eastAsia="仿宋"/>
          <w:color w:val="000000"/>
          <w:szCs w:val="21"/>
        </w:rPr>
        <w:t xml:space="preserve"> </w:t>
      </w:r>
    </w:p>
    <w:p>
      <w:pPr>
        <w:spacing w:line="360" w:lineRule="auto"/>
        <w:jc w:val="right"/>
        <w:rPr>
          <w:rFonts w:hint="eastAsia" w:ascii="宋体" w:hAnsi="宋体"/>
          <w:szCs w:val="21"/>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w:pict>
        <v:shape id="PowerPlusWaterMarkObject24930" o:spid="_x0000_s2049" o:spt="136" type="#_x0000_t136" style="position:absolute;left:0pt;height:105.85pt;width:481.4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贵阳农商银行"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0"/>
  <w:bordersDoNotSurroundFooter w:val="0"/>
  <w:documentProtection w:edit="readOnly" w:enforcement="1" w:cryptProviderType="rsaFull" w:cryptAlgorithmClass="hash" w:cryptAlgorithmType="typeAny" w:cryptAlgorithmSid="4" w:cryptSpinCount="0" w:hash="4YCWVd2PenXwZW6f0mengw+38XM=" w:salt="KoGfe4Ts6oeiGwGJcrvNBg=="/>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__Grammarly_42____i" w:val="H4sIAAAAAAAEAKtWckksSQxILCpxzi/NK1GyMqwFAAEhoTITAAAA"/>
    <w:docVar w:name="__Grammarly_42___1" w:val="H4sIAAAAAAAEAKtWcslP9kxRslIyNDYyNDU1tzQ0sTS1MDOwNLBQ0lEKTi0uzszPAykwqQUAmMDUSiwAAAA="/>
  </w:docVars>
  <w:rsids>
    <w:rsidRoot w:val="00172A27"/>
    <w:rsid w:val="0002343D"/>
    <w:rsid w:val="00091C41"/>
    <w:rsid w:val="000D0AFD"/>
    <w:rsid w:val="001F3981"/>
    <w:rsid w:val="002173B4"/>
    <w:rsid w:val="002271D8"/>
    <w:rsid w:val="002335B9"/>
    <w:rsid w:val="00284894"/>
    <w:rsid w:val="002868DE"/>
    <w:rsid w:val="00332BF6"/>
    <w:rsid w:val="00383097"/>
    <w:rsid w:val="00383F8D"/>
    <w:rsid w:val="003962BF"/>
    <w:rsid w:val="003B1CFB"/>
    <w:rsid w:val="0040185E"/>
    <w:rsid w:val="004249DF"/>
    <w:rsid w:val="00425A8D"/>
    <w:rsid w:val="00494EE4"/>
    <w:rsid w:val="004F7D07"/>
    <w:rsid w:val="005006CE"/>
    <w:rsid w:val="0050305E"/>
    <w:rsid w:val="005F62A5"/>
    <w:rsid w:val="00675054"/>
    <w:rsid w:val="00680BEA"/>
    <w:rsid w:val="007901B6"/>
    <w:rsid w:val="007B4D26"/>
    <w:rsid w:val="007D5CDC"/>
    <w:rsid w:val="00802390"/>
    <w:rsid w:val="00830069"/>
    <w:rsid w:val="00854720"/>
    <w:rsid w:val="0086330B"/>
    <w:rsid w:val="00877FC5"/>
    <w:rsid w:val="0088229F"/>
    <w:rsid w:val="00895911"/>
    <w:rsid w:val="008F796E"/>
    <w:rsid w:val="009A3C83"/>
    <w:rsid w:val="009B2149"/>
    <w:rsid w:val="00A16A26"/>
    <w:rsid w:val="00A2478C"/>
    <w:rsid w:val="00A503C0"/>
    <w:rsid w:val="00A51B27"/>
    <w:rsid w:val="00B60E75"/>
    <w:rsid w:val="00B92A2E"/>
    <w:rsid w:val="00CA12EC"/>
    <w:rsid w:val="00CC4F48"/>
    <w:rsid w:val="00CF0E20"/>
    <w:rsid w:val="00D84094"/>
    <w:rsid w:val="00DD4936"/>
    <w:rsid w:val="00E93CE4"/>
    <w:rsid w:val="00F00CEE"/>
    <w:rsid w:val="00FD2835"/>
    <w:rsid w:val="00FE0EB8"/>
    <w:rsid w:val="00FE6999"/>
    <w:rsid w:val="05581092"/>
    <w:rsid w:val="05A14D31"/>
    <w:rsid w:val="05AE26D9"/>
    <w:rsid w:val="077D1837"/>
    <w:rsid w:val="08665360"/>
    <w:rsid w:val="09860979"/>
    <w:rsid w:val="0D901766"/>
    <w:rsid w:val="119D38F4"/>
    <w:rsid w:val="11F52987"/>
    <w:rsid w:val="12DA60B7"/>
    <w:rsid w:val="146F445A"/>
    <w:rsid w:val="14AB3BE4"/>
    <w:rsid w:val="153D2966"/>
    <w:rsid w:val="17E41503"/>
    <w:rsid w:val="1A892A91"/>
    <w:rsid w:val="1A9C7578"/>
    <w:rsid w:val="235D70F6"/>
    <w:rsid w:val="278333F6"/>
    <w:rsid w:val="27F52FED"/>
    <w:rsid w:val="2D7E3F5C"/>
    <w:rsid w:val="2F4671E3"/>
    <w:rsid w:val="306C3042"/>
    <w:rsid w:val="31CE3823"/>
    <w:rsid w:val="33C40040"/>
    <w:rsid w:val="342153CB"/>
    <w:rsid w:val="34296D79"/>
    <w:rsid w:val="38353970"/>
    <w:rsid w:val="38D97024"/>
    <w:rsid w:val="38E926E9"/>
    <w:rsid w:val="3DD952CD"/>
    <w:rsid w:val="42277313"/>
    <w:rsid w:val="42293150"/>
    <w:rsid w:val="4264087B"/>
    <w:rsid w:val="43F3566A"/>
    <w:rsid w:val="447E1A87"/>
    <w:rsid w:val="44FC1717"/>
    <w:rsid w:val="457A406E"/>
    <w:rsid w:val="46CD3A39"/>
    <w:rsid w:val="476D2A9A"/>
    <w:rsid w:val="48E8631C"/>
    <w:rsid w:val="4996057B"/>
    <w:rsid w:val="4BDC62BF"/>
    <w:rsid w:val="4D870C30"/>
    <w:rsid w:val="4E47040F"/>
    <w:rsid w:val="4E8B3FB3"/>
    <w:rsid w:val="5119148F"/>
    <w:rsid w:val="51A03B59"/>
    <w:rsid w:val="52321244"/>
    <w:rsid w:val="53986600"/>
    <w:rsid w:val="57B47E4D"/>
    <w:rsid w:val="599B121E"/>
    <w:rsid w:val="5E660FCE"/>
    <w:rsid w:val="5FB15832"/>
    <w:rsid w:val="60450B80"/>
    <w:rsid w:val="62446D78"/>
    <w:rsid w:val="62775533"/>
    <w:rsid w:val="62C54F28"/>
    <w:rsid w:val="63926E74"/>
    <w:rsid w:val="6455585F"/>
    <w:rsid w:val="650A0CD8"/>
    <w:rsid w:val="67293354"/>
    <w:rsid w:val="68513422"/>
    <w:rsid w:val="68CC5C7E"/>
    <w:rsid w:val="705B15C4"/>
    <w:rsid w:val="73083B4A"/>
    <w:rsid w:val="737F3265"/>
    <w:rsid w:val="757F3635"/>
    <w:rsid w:val="78D66D4A"/>
    <w:rsid w:val="79751FD1"/>
    <w:rsid w:val="798D2AE9"/>
    <w:rsid w:val="7B11542F"/>
    <w:rsid w:val="7C400CEC"/>
    <w:rsid w:val="7C5A787B"/>
    <w:rsid w:val="7CA27CB2"/>
    <w:rsid w:val="7DEE77EE"/>
    <w:rsid w:val="7E843B57"/>
    <w:rsid w:val="7FA45BC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semiHidden="0" w:name="Hyperlink"/>
    <w:lsdException w:qFormat="1" w:uiPriority="0" w:semiHidden="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7"/>
    <w:qFormat/>
    <w:uiPriority w:val="0"/>
    <w:pPr>
      <w:keepNext/>
      <w:keepLines/>
      <w:spacing w:before="340" w:after="330" w:line="576" w:lineRule="auto"/>
      <w:outlineLvl w:val="0"/>
    </w:pPr>
    <w:rPr>
      <w:b/>
      <w:kern w:val="44"/>
      <w:sz w:val="44"/>
    </w:rPr>
  </w:style>
  <w:style w:type="paragraph" w:styleId="3">
    <w:name w:val="heading 2"/>
    <w:basedOn w:val="1"/>
    <w:next w:val="1"/>
    <w:link w:val="18"/>
    <w:unhideWhenUsed/>
    <w:qFormat/>
    <w:uiPriority w:val="0"/>
    <w:pPr>
      <w:keepNext/>
      <w:keepLines/>
      <w:spacing w:before="260" w:after="260" w:line="408" w:lineRule="auto"/>
      <w:outlineLvl w:val="1"/>
    </w:pPr>
    <w:rPr>
      <w:rFonts w:ascii="Arial" w:hAnsi="Arial" w:eastAsia="黑体"/>
      <w:b/>
      <w:sz w:val="32"/>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link w:val="19"/>
    <w:unhideWhenUsed/>
    <w:qFormat/>
    <w:uiPriority w:val="0"/>
    <w:pPr>
      <w:jc w:val="left"/>
    </w:pPr>
    <w:rPr>
      <w:rFonts w:ascii="Calibri" w:hAnsi="Calibri" w:cs="黑体"/>
      <w:szCs w:val="22"/>
    </w:rPr>
  </w:style>
  <w:style w:type="paragraph" w:styleId="5">
    <w:name w:val="Body Text"/>
    <w:basedOn w:val="1"/>
    <w:link w:val="22"/>
    <w:unhideWhenUsed/>
    <w:qFormat/>
    <w:uiPriority w:val="1"/>
    <w:pPr>
      <w:spacing w:before="19"/>
      <w:ind w:left="479"/>
      <w:jc w:val="left"/>
    </w:pPr>
    <w:rPr>
      <w:rFonts w:ascii="宋体" w:hAnsi="宋体" w:cs="黑体"/>
      <w:kern w:val="0"/>
      <w:sz w:val="18"/>
      <w:szCs w:val="18"/>
      <w:lang w:eastAsia="en-US"/>
    </w:rPr>
  </w:style>
  <w:style w:type="paragraph" w:styleId="6">
    <w:name w:val="Balloon Text"/>
    <w:basedOn w:val="1"/>
    <w:link w:val="24"/>
    <w:unhideWhenUsed/>
    <w:qFormat/>
    <w:uiPriority w:val="99"/>
    <w:rPr>
      <w:sz w:val="18"/>
      <w:szCs w:val="18"/>
    </w:rPr>
  </w:style>
  <w:style w:type="paragraph" w:styleId="7">
    <w:name w:val="footer"/>
    <w:basedOn w:val="1"/>
    <w:link w:val="21"/>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8">
    <w:name w:val="header"/>
    <w:basedOn w:val="1"/>
    <w:link w:val="20"/>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9">
    <w:name w:val="annotation subject"/>
    <w:basedOn w:val="4"/>
    <w:next w:val="4"/>
    <w:link w:val="23"/>
    <w:unhideWhenUsed/>
    <w:qFormat/>
    <w:uiPriority w:val="99"/>
    <w:rPr>
      <w:rFonts w:ascii="Times New Roman" w:hAnsi="Times New Roman" w:cs="Times New Roman"/>
      <w:b/>
      <w:bCs/>
      <w:szCs w:val="20"/>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FollowedHyperlink"/>
    <w:basedOn w:val="12"/>
    <w:unhideWhenUsed/>
    <w:qFormat/>
    <w:uiPriority w:val="0"/>
    <w:rPr>
      <w:color w:val="000066"/>
      <w:sz w:val="18"/>
      <w:szCs w:val="18"/>
      <w:u w:val="single"/>
    </w:rPr>
  </w:style>
  <w:style w:type="character" w:styleId="14">
    <w:name w:val="Hyperlink"/>
    <w:basedOn w:val="12"/>
    <w:unhideWhenUsed/>
    <w:qFormat/>
    <w:uiPriority w:val="0"/>
    <w:rPr>
      <w:color w:val="000066"/>
      <w:sz w:val="18"/>
      <w:szCs w:val="18"/>
      <w:u w:val="single"/>
    </w:rPr>
  </w:style>
  <w:style w:type="character" w:styleId="15">
    <w:name w:val="annotation reference"/>
    <w:unhideWhenUsed/>
    <w:qFormat/>
    <w:uiPriority w:val="0"/>
    <w:rPr>
      <w:sz w:val="21"/>
    </w:rPr>
  </w:style>
  <w:style w:type="paragraph" w:customStyle="1" w:styleId="16">
    <w:name w:val="Table Paragraph"/>
    <w:basedOn w:val="1"/>
    <w:qFormat/>
    <w:uiPriority w:val="1"/>
    <w:pPr>
      <w:jc w:val="left"/>
    </w:pPr>
    <w:rPr>
      <w:kern w:val="0"/>
      <w:sz w:val="22"/>
      <w:lang w:eastAsia="en-US"/>
    </w:rPr>
  </w:style>
  <w:style w:type="character" w:customStyle="1" w:styleId="17">
    <w:name w:val="标题 1 字符"/>
    <w:basedOn w:val="12"/>
    <w:link w:val="2"/>
    <w:qFormat/>
    <w:locked/>
    <w:uiPriority w:val="0"/>
    <w:rPr>
      <w:rFonts w:hint="default" w:ascii="Times New Roman" w:hAnsi="Times New Roman" w:eastAsia="宋体" w:cs="Times New Roman"/>
      <w:b/>
      <w:kern w:val="44"/>
      <w:sz w:val="44"/>
      <w:szCs w:val="20"/>
    </w:rPr>
  </w:style>
  <w:style w:type="character" w:customStyle="1" w:styleId="18">
    <w:name w:val="标题 2 字符"/>
    <w:basedOn w:val="12"/>
    <w:link w:val="3"/>
    <w:semiHidden/>
    <w:qFormat/>
    <w:locked/>
    <w:uiPriority w:val="0"/>
    <w:rPr>
      <w:rFonts w:hint="default" w:ascii="Arial" w:hAnsi="Arial" w:eastAsia="黑体" w:cs="Times New Roman"/>
      <w:b/>
      <w:sz w:val="32"/>
      <w:szCs w:val="20"/>
    </w:rPr>
  </w:style>
  <w:style w:type="character" w:customStyle="1" w:styleId="19">
    <w:name w:val="批注文字 字符"/>
    <w:link w:val="4"/>
    <w:semiHidden/>
    <w:qFormat/>
    <w:locked/>
    <w:uiPriority w:val="0"/>
    <w:rPr>
      <w:rFonts w:hint="eastAsia" w:ascii="宋体" w:hAnsi="宋体" w:eastAsia="宋体"/>
    </w:rPr>
  </w:style>
  <w:style w:type="character" w:customStyle="1" w:styleId="20">
    <w:name w:val="页眉 字符"/>
    <w:basedOn w:val="12"/>
    <w:link w:val="8"/>
    <w:qFormat/>
    <w:locked/>
    <w:uiPriority w:val="99"/>
    <w:rPr>
      <w:sz w:val="18"/>
      <w:szCs w:val="18"/>
    </w:rPr>
  </w:style>
  <w:style w:type="character" w:customStyle="1" w:styleId="21">
    <w:name w:val="页脚 字符"/>
    <w:basedOn w:val="12"/>
    <w:link w:val="7"/>
    <w:qFormat/>
    <w:locked/>
    <w:uiPriority w:val="99"/>
    <w:rPr>
      <w:sz w:val="18"/>
      <w:szCs w:val="18"/>
    </w:rPr>
  </w:style>
  <w:style w:type="character" w:customStyle="1" w:styleId="22">
    <w:name w:val="正文文本 字符"/>
    <w:basedOn w:val="12"/>
    <w:link w:val="5"/>
    <w:semiHidden/>
    <w:qFormat/>
    <w:locked/>
    <w:uiPriority w:val="1"/>
    <w:rPr>
      <w:rFonts w:hint="eastAsia" w:ascii="宋体" w:hAnsi="宋体" w:eastAsia="宋体"/>
      <w:sz w:val="18"/>
      <w:szCs w:val="18"/>
      <w:lang w:eastAsia="en-US"/>
    </w:rPr>
  </w:style>
  <w:style w:type="character" w:customStyle="1" w:styleId="23">
    <w:name w:val="批注主题 字符"/>
    <w:basedOn w:val="19"/>
    <w:link w:val="9"/>
    <w:semiHidden/>
    <w:qFormat/>
    <w:locked/>
    <w:uiPriority w:val="99"/>
    <w:rPr>
      <w:rFonts w:hint="default" w:ascii="Times New Roman" w:hAnsi="Times New Roman" w:eastAsia="宋体" w:cs="Times New Roman"/>
      <w:b/>
      <w:bCs/>
      <w:kern w:val="2"/>
      <w:sz w:val="21"/>
    </w:rPr>
  </w:style>
  <w:style w:type="character" w:customStyle="1" w:styleId="24">
    <w:name w:val="批注框文本 字符"/>
    <w:basedOn w:val="12"/>
    <w:link w:val="6"/>
    <w:semiHidden/>
    <w:qFormat/>
    <w:locked/>
    <w:uiPriority w:val="99"/>
    <w:rPr>
      <w:rFonts w:hint="default" w:ascii="Times New Roman" w:hAnsi="Times New Roman" w:eastAsia="宋体" w:cs="Times New Roman"/>
      <w:sz w:val="18"/>
      <w:szCs w:val="18"/>
    </w:rPr>
  </w:style>
  <w:style w:type="character" w:customStyle="1" w:styleId="25">
    <w:name w:val="批注文字 Char1"/>
    <w:basedOn w:val="12"/>
    <w:semiHidden/>
    <w:qFormat/>
    <w:uiPriority w:val="99"/>
    <w:rPr>
      <w:rFonts w:hint="default"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D:\&#20849;&#20139;\2022&#24180;&#32452;&#21512;\380319004956-&#31319;&#36149;&#38451;&#20892;&#21830;&#34892;&#29702;&#36130;&#20135;&#21697;EDD\&#25176;&#31649;\&#23450;&#26399;&#25253;&#21578;\&#36208;&#21183;&#22270;.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20849;&#20139;\2022&#24180;&#32452;&#21512;\380319004956-&#31319;&#36149;&#38451;&#20892;&#21830;&#34892;&#29702;&#36130;&#20135;&#21697;EDD\&#25176;&#31649;\&#23450;&#26399;&#25253;&#21578;\&#36208;&#21183;&#2227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dLbls>
            <c:delete val="1"/>
          </c:dLbls>
          <c:cat>
            <c:numRef>
              <c:f>'[走势图.xlsx]4季度 '!$A$1:$A$92</c:f>
              <c:numCache>
                <c:formatCode>yyyy/m/d</c:formatCode>
                <c:ptCount val="92"/>
                <c:pt idx="0" c:formatCode="yyyy/m/d">
                  <c:v>44835</c:v>
                </c:pt>
                <c:pt idx="1" c:formatCode="yyyy/m/d">
                  <c:v>44836</c:v>
                </c:pt>
                <c:pt idx="2" c:formatCode="yyyy/m/d">
                  <c:v>44837</c:v>
                </c:pt>
                <c:pt idx="3" c:formatCode="yyyy/m/d">
                  <c:v>44838</c:v>
                </c:pt>
                <c:pt idx="4" c:formatCode="yyyy/m/d">
                  <c:v>44839</c:v>
                </c:pt>
                <c:pt idx="5" c:formatCode="yyyy/m/d">
                  <c:v>44840</c:v>
                </c:pt>
                <c:pt idx="6" c:formatCode="yyyy/m/d">
                  <c:v>44841</c:v>
                </c:pt>
                <c:pt idx="7" c:formatCode="yyyy/m/d">
                  <c:v>44842</c:v>
                </c:pt>
                <c:pt idx="8" c:formatCode="yyyy/m/d">
                  <c:v>44843</c:v>
                </c:pt>
                <c:pt idx="9" c:formatCode="yyyy/m/d">
                  <c:v>44844</c:v>
                </c:pt>
                <c:pt idx="10" c:formatCode="yyyy/m/d">
                  <c:v>44845</c:v>
                </c:pt>
                <c:pt idx="11" c:formatCode="yyyy/m/d">
                  <c:v>44846</c:v>
                </c:pt>
                <c:pt idx="12" c:formatCode="yyyy/m/d">
                  <c:v>44847</c:v>
                </c:pt>
                <c:pt idx="13" c:formatCode="yyyy/m/d">
                  <c:v>44848</c:v>
                </c:pt>
                <c:pt idx="14" c:formatCode="yyyy/m/d">
                  <c:v>44849</c:v>
                </c:pt>
                <c:pt idx="15" c:formatCode="yyyy/m/d">
                  <c:v>44850</c:v>
                </c:pt>
                <c:pt idx="16" c:formatCode="yyyy/m/d">
                  <c:v>44851</c:v>
                </c:pt>
                <c:pt idx="17" c:formatCode="yyyy/m/d">
                  <c:v>44852</c:v>
                </c:pt>
                <c:pt idx="18" c:formatCode="yyyy/m/d">
                  <c:v>44853</c:v>
                </c:pt>
                <c:pt idx="19" c:formatCode="yyyy/m/d">
                  <c:v>44854</c:v>
                </c:pt>
                <c:pt idx="20" c:formatCode="yyyy/m/d">
                  <c:v>44855</c:v>
                </c:pt>
                <c:pt idx="21" c:formatCode="yyyy/m/d">
                  <c:v>44856</c:v>
                </c:pt>
                <c:pt idx="22" c:formatCode="yyyy/m/d">
                  <c:v>44857</c:v>
                </c:pt>
                <c:pt idx="23" c:formatCode="yyyy/m/d">
                  <c:v>44858</c:v>
                </c:pt>
                <c:pt idx="24" c:formatCode="yyyy/m/d">
                  <c:v>44859</c:v>
                </c:pt>
                <c:pt idx="25" c:formatCode="yyyy/m/d">
                  <c:v>44860</c:v>
                </c:pt>
                <c:pt idx="26" c:formatCode="yyyy/m/d">
                  <c:v>44861</c:v>
                </c:pt>
                <c:pt idx="27" c:formatCode="yyyy/m/d">
                  <c:v>44862</c:v>
                </c:pt>
                <c:pt idx="28" c:formatCode="yyyy/m/d">
                  <c:v>44863</c:v>
                </c:pt>
                <c:pt idx="29" c:formatCode="yyyy/m/d">
                  <c:v>44864</c:v>
                </c:pt>
                <c:pt idx="30" c:formatCode="yyyy/m/d">
                  <c:v>44865</c:v>
                </c:pt>
                <c:pt idx="31" c:formatCode="yyyy/m/d">
                  <c:v>44866</c:v>
                </c:pt>
                <c:pt idx="32" c:formatCode="yyyy/m/d">
                  <c:v>44867</c:v>
                </c:pt>
                <c:pt idx="33" c:formatCode="yyyy/m/d">
                  <c:v>44868</c:v>
                </c:pt>
                <c:pt idx="34" c:formatCode="yyyy/m/d">
                  <c:v>44869</c:v>
                </c:pt>
                <c:pt idx="35" c:formatCode="yyyy/m/d">
                  <c:v>44870</c:v>
                </c:pt>
                <c:pt idx="36" c:formatCode="yyyy/m/d">
                  <c:v>44871</c:v>
                </c:pt>
                <c:pt idx="37" c:formatCode="yyyy/m/d">
                  <c:v>44872</c:v>
                </c:pt>
                <c:pt idx="38" c:formatCode="yyyy/m/d">
                  <c:v>44873</c:v>
                </c:pt>
                <c:pt idx="39" c:formatCode="yyyy/m/d">
                  <c:v>44874</c:v>
                </c:pt>
                <c:pt idx="40" c:formatCode="yyyy/m/d">
                  <c:v>44875</c:v>
                </c:pt>
                <c:pt idx="41" c:formatCode="yyyy/m/d">
                  <c:v>44876</c:v>
                </c:pt>
                <c:pt idx="42" c:formatCode="yyyy/m/d">
                  <c:v>44877</c:v>
                </c:pt>
                <c:pt idx="43" c:formatCode="yyyy/m/d">
                  <c:v>44878</c:v>
                </c:pt>
                <c:pt idx="44" c:formatCode="yyyy/m/d">
                  <c:v>44879</c:v>
                </c:pt>
                <c:pt idx="45" c:formatCode="yyyy/m/d">
                  <c:v>44880</c:v>
                </c:pt>
                <c:pt idx="46" c:formatCode="yyyy/m/d">
                  <c:v>44881</c:v>
                </c:pt>
                <c:pt idx="47" c:formatCode="yyyy/m/d">
                  <c:v>44882</c:v>
                </c:pt>
                <c:pt idx="48" c:formatCode="yyyy/m/d">
                  <c:v>44883</c:v>
                </c:pt>
                <c:pt idx="49" c:formatCode="yyyy/m/d">
                  <c:v>44884</c:v>
                </c:pt>
                <c:pt idx="50" c:formatCode="yyyy/m/d">
                  <c:v>44885</c:v>
                </c:pt>
                <c:pt idx="51" c:formatCode="yyyy/m/d">
                  <c:v>44886</c:v>
                </c:pt>
                <c:pt idx="52" c:formatCode="yyyy/m/d">
                  <c:v>44887</c:v>
                </c:pt>
                <c:pt idx="53" c:formatCode="yyyy/m/d">
                  <c:v>44888</c:v>
                </c:pt>
                <c:pt idx="54" c:formatCode="yyyy/m/d">
                  <c:v>44889</c:v>
                </c:pt>
                <c:pt idx="55" c:formatCode="yyyy/m/d">
                  <c:v>44890</c:v>
                </c:pt>
                <c:pt idx="56" c:formatCode="yyyy/m/d">
                  <c:v>44891</c:v>
                </c:pt>
                <c:pt idx="57" c:formatCode="yyyy/m/d">
                  <c:v>44892</c:v>
                </c:pt>
                <c:pt idx="58" c:formatCode="yyyy/m/d">
                  <c:v>44893</c:v>
                </c:pt>
                <c:pt idx="59" c:formatCode="yyyy/m/d">
                  <c:v>44894</c:v>
                </c:pt>
                <c:pt idx="60" c:formatCode="yyyy/m/d">
                  <c:v>44895</c:v>
                </c:pt>
                <c:pt idx="61" c:formatCode="yyyy/m/d">
                  <c:v>44896</c:v>
                </c:pt>
                <c:pt idx="62" c:formatCode="yyyy/m/d">
                  <c:v>44897</c:v>
                </c:pt>
                <c:pt idx="63" c:formatCode="yyyy/m/d">
                  <c:v>44898</c:v>
                </c:pt>
                <c:pt idx="64" c:formatCode="yyyy/m/d">
                  <c:v>44899</c:v>
                </c:pt>
                <c:pt idx="65" c:formatCode="yyyy/m/d">
                  <c:v>44900</c:v>
                </c:pt>
                <c:pt idx="66" c:formatCode="yyyy/m/d">
                  <c:v>44901</c:v>
                </c:pt>
                <c:pt idx="67" c:formatCode="yyyy/m/d">
                  <c:v>44902</c:v>
                </c:pt>
                <c:pt idx="68" c:formatCode="yyyy/m/d">
                  <c:v>44903</c:v>
                </c:pt>
                <c:pt idx="69" c:formatCode="yyyy/m/d">
                  <c:v>44904</c:v>
                </c:pt>
                <c:pt idx="70" c:formatCode="yyyy/m/d">
                  <c:v>44905</c:v>
                </c:pt>
                <c:pt idx="71" c:formatCode="yyyy/m/d">
                  <c:v>44906</c:v>
                </c:pt>
                <c:pt idx="72" c:formatCode="yyyy/m/d">
                  <c:v>44907</c:v>
                </c:pt>
                <c:pt idx="73" c:formatCode="yyyy/m/d">
                  <c:v>44908</c:v>
                </c:pt>
                <c:pt idx="74" c:formatCode="yyyy/m/d">
                  <c:v>44909</c:v>
                </c:pt>
                <c:pt idx="75" c:formatCode="yyyy/m/d">
                  <c:v>44910</c:v>
                </c:pt>
                <c:pt idx="76" c:formatCode="yyyy/m/d">
                  <c:v>44911</c:v>
                </c:pt>
                <c:pt idx="77" c:formatCode="yyyy/m/d">
                  <c:v>44912</c:v>
                </c:pt>
                <c:pt idx="78" c:formatCode="yyyy/m/d">
                  <c:v>44913</c:v>
                </c:pt>
                <c:pt idx="79" c:formatCode="yyyy/m/d">
                  <c:v>44914</c:v>
                </c:pt>
                <c:pt idx="80" c:formatCode="yyyy/m/d">
                  <c:v>44915</c:v>
                </c:pt>
                <c:pt idx="81" c:formatCode="yyyy/m/d">
                  <c:v>44916</c:v>
                </c:pt>
                <c:pt idx="82" c:formatCode="yyyy/m/d">
                  <c:v>44917</c:v>
                </c:pt>
                <c:pt idx="83" c:formatCode="yyyy/m/d">
                  <c:v>44918</c:v>
                </c:pt>
                <c:pt idx="84" c:formatCode="yyyy/m/d">
                  <c:v>44919</c:v>
                </c:pt>
                <c:pt idx="85" c:formatCode="yyyy/m/d">
                  <c:v>44920</c:v>
                </c:pt>
                <c:pt idx="86" c:formatCode="yyyy/m/d">
                  <c:v>44921</c:v>
                </c:pt>
                <c:pt idx="87" c:formatCode="yyyy/m/d">
                  <c:v>44922</c:v>
                </c:pt>
                <c:pt idx="88" c:formatCode="yyyy/m/d">
                  <c:v>44923</c:v>
                </c:pt>
                <c:pt idx="89" c:formatCode="yyyy/m/d">
                  <c:v>44924</c:v>
                </c:pt>
                <c:pt idx="90" c:formatCode="yyyy/m/d">
                  <c:v>44925</c:v>
                </c:pt>
                <c:pt idx="91" c:formatCode="yyyy/m/d">
                  <c:v>44926</c:v>
                </c:pt>
              </c:numCache>
            </c:numRef>
          </c:cat>
          <c:val>
            <c:numRef>
              <c:f>'[走势图.xlsx]4季度 '!$B$1:$B$92</c:f>
              <c:numCache>
                <c:formatCode>General</c:formatCode>
                <c:ptCount val="92"/>
                <c:pt idx="0">
                  <c:v>1.0168</c:v>
                </c:pt>
                <c:pt idx="1">
                  <c:v>1.0168</c:v>
                </c:pt>
                <c:pt idx="2">
                  <c:v>1.0168</c:v>
                </c:pt>
                <c:pt idx="3">
                  <c:v>1.0168</c:v>
                </c:pt>
                <c:pt idx="4">
                  <c:v>1.0168</c:v>
                </c:pt>
                <c:pt idx="5">
                  <c:v>1.0167</c:v>
                </c:pt>
                <c:pt idx="6">
                  <c:v>1.0167</c:v>
                </c:pt>
                <c:pt idx="7">
                  <c:v>1.0167</c:v>
                </c:pt>
                <c:pt idx="8">
                  <c:v>1.0167</c:v>
                </c:pt>
                <c:pt idx="9">
                  <c:v>1.0192</c:v>
                </c:pt>
                <c:pt idx="10">
                  <c:v>1.0194</c:v>
                </c:pt>
                <c:pt idx="11">
                  <c:v>1.0196</c:v>
                </c:pt>
                <c:pt idx="12">
                  <c:v>1.02</c:v>
                </c:pt>
                <c:pt idx="13">
                  <c:v>1.02</c:v>
                </c:pt>
                <c:pt idx="14">
                  <c:v>1.02</c:v>
                </c:pt>
                <c:pt idx="15">
                  <c:v>1.02</c:v>
                </c:pt>
                <c:pt idx="16">
                  <c:v>1.0207</c:v>
                </c:pt>
                <c:pt idx="17">
                  <c:v>1.021</c:v>
                </c:pt>
                <c:pt idx="18">
                  <c:v>1.0213</c:v>
                </c:pt>
                <c:pt idx="19">
                  <c:v>1.0207</c:v>
                </c:pt>
                <c:pt idx="20">
                  <c:v>1.0209</c:v>
                </c:pt>
                <c:pt idx="21">
                  <c:v>1.0209</c:v>
                </c:pt>
                <c:pt idx="22">
                  <c:v>1.0208</c:v>
                </c:pt>
                <c:pt idx="23">
                  <c:v>1.0214</c:v>
                </c:pt>
                <c:pt idx="24">
                  <c:v>1.0214</c:v>
                </c:pt>
                <c:pt idx="25">
                  <c:v>1.0215</c:v>
                </c:pt>
                <c:pt idx="26">
                  <c:v>1.0218</c:v>
                </c:pt>
                <c:pt idx="27">
                  <c:v>1.022</c:v>
                </c:pt>
                <c:pt idx="28">
                  <c:v>1.022</c:v>
                </c:pt>
                <c:pt idx="29">
                  <c:v>1.022</c:v>
                </c:pt>
                <c:pt idx="30">
                  <c:v>1.0227</c:v>
                </c:pt>
                <c:pt idx="31">
                  <c:v>1.023</c:v>
                </c:pt>
                <c:pt idx="32">
                  <c:v>1.0232</c:v>
                </c:pt>
                <c:pt idx="33">
                  <c:v>1.0234</c:v>
                </c:pt>
                <c:pt idx="34">
                  <c:v>1.0235</c:v>
                </c:pt>
                <c:pt idx="35">
                  <c:v>1.0234</c:v>
                </c:pt>
                <c:pt idx="36">
                  <c:v>1.0234</c:v>
                </c:pt>
                <c:pt idx="37">
                  <c:v>1.0239</c:v>
                </c:pt>
                <c:pt idx="38">
                  <c:v>1.024</c:v>
                </c:pt>
                <c:pt idx="39">
                  <c:v>1.0241</c:v>
                </c:pt>
                <c:pt idx="40">
                  <c:v>1.0241</c:v>
                </c:pt>
                <c:pt idx="41">
                  <c:v>1.024</c:v>
                </c:pt>
                <c:pt idx="42">
                  <c:v>1.024</c:v>
                </c:pt>
                <c:pt idx="43">
                  <c:v>1.024</c:v>
                </c:pt>
                <c:pt idx="44">
                  <c:v>1.0237</c:v>
                </c:pt>
                <c:pt idx="45">
                  <c:v>1.0232</c:v>
                </c:pt>
                <c:pt idx="46">
                  <c:v>1.0225</c:v>
                </c:pt>
                <c:pt idx="47">
                  <c:v>1.0223</c:v>
                </c:pt>
                <c:pt idx="48">
                  <c:v>1.0222</c:v>
                </c:pt>
                <c:pt idx="49">
                  <c:v>1.0222</c:v>
                </c:pt>
                <c:pt idx="50">
                  <c:v>1.0221</c:v>
                </c:pt>
                <c:pt idx="51">
                  <c:v>1.0216</c:v>
                </c:pt>
                <c:pt idx="52">
                  <c:v>1.0215</c:v>
                </c:pt>
                <c:pt idx="53">
                  <c:v>1.0215</c:v>
                </c:pt>
                <c:pt idx="54">
                  <c:v>1.0217</c:v>
                </c:pt>
                <c:pt idx="55">
                  <c:v>1.0219</c:v>
                </c:pt>
                <c:pt idx="56">
                  <c:v>1.0219</c:v>
                </c:pt>
                <c:pt idx="57">
                  <c:v>1.0219</c:v>
                </c:pt>
                <c:pt idx="58">
                  <c:v>1.0222</c:v>
                </c:pt>
                <c:pt idx="59">
                  <c:v>1.0217</c:v>
                </c:pt>
                <c:pt idx="60">
                  <c:v>1.0215</c:v>
                </c:pt>
                <c:pt idx="61">
                  <c:v>1.0213</c:v>
                </c:pt>
                <c:pt idx="62">
                  <c:v>1.0213</c:v>
                </c:pt>
                <c:pt idx="63">
                  <c:v>1.0213</c:v>
                </c:pt>
                <c:pt idx="64">
                  <c:v>1.0213</c:v>
                </c:pt>
                <c:pt idx="65">
                  <c:v>1.0217</c:v>
                </c:pt>
                <c:pt idx="66">
                  <c:v>1.0214</c:v>
                </c:pt>
                <c:pt idx="67">
                  <c:v>1.0211</c:v>
                </c:pt>
                <c:pt idx="68">
                  <c:v>1.0209</c:v>
                </c:pt>
                <c:pt idx="69">
                  <c:v>1.0209</c:v>
                </c:pt>
                <c:pt idx="70">
                  <c:v>1.0209</c:v>
                </c:pt>
                <c:pt idx="71">
                  <c:v>1.0208</c:v>
                </c:pt>
                <c:pt idx="72">
                  <c:v>1.0211</c:v>
                </c:pt>
                <c:pt idx="73">
                  <c:v>1.0196</c:v>
                </c:pt>
                <c:pt idx="74">
                  <c:v>1.0194</c:v>
                </c:pt>
                <c:pt idx="75">
                  <c:v>1.0199</c:v>
                </c:pt>
                <c:pt idx="76">
                  <c:v>1.0198</c:v>
                </c:pt>
                <c:pt idx="77">
                  <c:v>1.0198</c:v>
                </c:pt>
                <c:pt idx="78">
                  <c:v>1.0198</c:v>
                </c:pt>
                <c:pt idx="79">
                  <c:v>1.0204</c:v>
                </c:pt>
                <c:pt idx="80">
                  <c:v>1.0206</c:v>
                </c:pt>
                <c:pt idx="81">
                  <c:v>1.0207</c:v>
                </c:pt>
                <c:pt idx="82">
                  <c:v>1.021</c:v>
                </c:pt>
                <c:pt idx="83">
                  <c:v>1.0214</c:v>
                </c:pt>
                <c:pt idx="84">
                  <c:v>1.0214</c:v>
                </c:pt>
                <c:pt idx="85">
                  <c:v>1.0214</c:v>
                </c:pt>
                <c:pt idx="86">
                  <c:v>1.0223</c:v>
                </c:pt>
                <c:pt idx="87">
                  <c:v>1.0223</c:v>
                </c:pt>
                <c:pt idx="88">
                  <c:v>1.0225</c:v>
                </c:pt>
                <c:pt idx="89">
                  <c:v>1.0228</c:v>
                </c:pt>
                <c:pt idx="90">
                  <c:v>1.0233</c:v>
                </c:pt>
                <c:pt idx="91">
                  <c:v>1.0234</c:v>
                </c:pt>
              </c:numCache>
            </c:numRef>
          </c:val>
          <c:smooth val="0"/>
        </c:ser>
        <c:dLbls>
          <c:showLegendKey val="0"/>
          <c:showVal val="0"/>
          <c:showCatName val="0"/>
          <c:showSerName val="0"/>
          <c:showPercent val="0"/>
          <c:showBubbleSize val="0"/>
        </c:dLbls>
        <c:marker val="0"/>
        <c:smooth val="0"/>
        <c:axId val="938382389"/>
        <c:axId val="881164757"/>
      </c:lineChart>
      <c:dateAx>
        <c:axId val="938382389"/>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1164757"/>
        <c:crosses val="autoZero"/>
        <c:auto val="1"/>
        <c:lblOffset val="100"/>
        <c:baseTimeUnit val="days"/>
      </c:dateAx>
      <c:valAx>
        <c:axId val="88116475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838238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份额净值增长率与同期业绩比较基准收益率变动比较走势图</a:t>
            </a:r>
          </a:p>
        </c:rich>
      </c:tx>
      <c:layout>
        <c:manualLayout>
          <c:xMode val="edge"/>
          <c:yMode val="edge"/>
          <c:x val="0.12"/>
          <c:y val="0.0383872613321674"/>
        </c:manualLayout>
      </c:layout>
      <c:overlay val="0"/>
      <c:spPr>
        <a:noFill/>
        <a:ln>
          <a:noFill/>
        </a:ln>
        <a:effectLst/>
      </c:spPr>
    </c:title>
    <c:autoTitleDeleted val="0"/>
    <c:plotArea>
      <c:layout/>
      <c:lineChart>
        <c:grouping val="standard"/>
        <c:varyColors val="0"/>
        <c:ser>
          <c:idx val="0"/>
          <c:order val="0"/>
          <c:tx>
            <c:strRef>
              <c:f>"份额净值增长率"</c:f>
              <c:strCache>
                <c:ptCount val="1"/>
                <c:pt idx="0">
                  <c:v>份额净值增长率</c:v>
                </c:pt>
              </c:strCache>
            </c:strRef>
          </c:tx>
          <c:spPr>
            <a:ln w="28575" cap="rnd">
              <a:solidFill>
                <a:schemeClr val="accent1"/>
              </a:solidFill>
              <a:round/>
            </a:ln>
            <a:effectLst/>
          </c:spPr>
          <c:marker>
            <c:symbol val="none"/>
          </c:marker>
          <c:dLbls>
            <c:delete val="1"/>
          </c:dLbls>
          <c:cat>
            <c:numRef>
              <c:f>'[走势图.xlsx]4季度 '!$A$1:$A$92</c:f>
              <c:numCache>
                <c:formatCode>yyyy/m/d</c:formatCode>
                <c:ptCount val="92"/>
                <c:pt idx="0" c:formatCode="yyyy/m/d">
                  <c:v>44835</c:v>
                </c:pt>
                <c:pt idx="1" c:formatCode="yyyy/m/d">
                  <c:v>44836</c:v>
                </c:pt>
                <c:pt idx="2" c:formatCode="yyyy/m/d">
                  <c:v>44837</c:v>
                </c:pt>
                <c:pt idx="3" c:formatCode="yyyy/m/d">
                  <c:v>44838</c:v>
                </c:pt>
                <c:pt idx="4" c:formatCode="yyyy/m/d">
                  <c:v>44839</c:v>
                </c:pt>
                <c:pt idx="5" c:formatCode="yyyy/m/d">
                  <c:v>44840</c:v>
                </c:pt>
                <c:pt idx="6" c:formatCode="yyyy/m/d">
                  <c:v>44841</c:v>
                </c:pt>
                <c:pt idx="7" c:formatCode="yyyy/m/d">
                  <c:v>44842</c:v>
                </c:pt>
                <c:pt idx="8" c:formatCode="yyyy/m/d">
                  <c:v>44843</c:v>
                </c:pt>
                <c:pt idx="9" c:formatCode="yyyy/m/d">
                  <c:v>44844</c:v>
                </c:pt>
                <c:pt idx="10" c:formatCode="yyyy/m/d">
                  <c:v>44845</c:v>
                </c:pt>
                <c:pt idx="11" c:formatCode="yyyy/m/d">
                  <c:v>44846</c:v>
                </c:pt>
                <c:pt idx="12" c:formatCode="yyyy/m/d">
                  <c:v>44847</c:v>
                </c:pt>
                <c:pt idx="13" c:formatCode="yyyy/m/d">
                  <c:v>44848</c:v>
                </c:pt>
                <c:pt idx="14" c:formatCode="yyyy/m/d">
                  <c:v>44849</c:v>
                </c:pt>
                <c:pt idx="15" c:formatCode="yyyy/m/d">
                  <c:v>44850</c:v>
                </c:pt>
                <c:pt idx="16" c:formatCode="yyyy/m/d">
                  <c:v>44851</c:v>
                </c:pt>
                <c:pt idx="17" c:formatCode="yyyy/m/d">
                  <c:v>44852</c:v>
                </c:pt>
                <c:pt idx="18" c:formatCode="yyyy/m/d">
                  <c:v>44853</c:v>
                </c:pt>
                <c:pt idx="19" c:formatCode="yyyy/m/d">
                  <c:v>44854</c:v>
                </c:pt>
                <c:pt idx="20" c:formatCode="yyyy/m/d">
                  <c:v>44855</c:v>
                </c:pt>
                <c:pt idx="21" c:formatCode="yyyy/m/d">
                  <c:v>44856</c:v>
                </c:pt>
                <c:pt idx="22" c:formatCode="yyyy/m/d">
                  <c:v>44857</c:v>
                </c:pt>
                <c:pt idx="23" c:formatCode="yyyy/m/d">
                  <c:v>44858</c:v>
                </c:pt>
                <c:pt idx="24" c:formatCode="yyyy/m/d">
                  <c:v>44859</c:v>
                </c:pt>
                <c:pt idx="25" c:formatCode="yyyy/m/d">
                  <c:v>44860</c:v>
                </c:pt>
                <c:pt idx="26" c:formatCode="yyyy/m/d">
                  <c:v>44861</c:v>
                </c:pt>
                <c:pt idx="27" c:formatCode="yyyy/m/d">
                  <c:v>44862</c:v>
                </c:pt>
                <c:pt idx="28" c:formatCode="yyyy/m/d">
                  <c:v>44863</c:v>
                </c:pt>
                <c:pt idx="29" c:formatCode="yyyy/m/d">
                  <c:v>44864</c:v>
                </c:pt>
                <c:pt idx="30" c:formatCode="yyyy/m/d">
                  <c:v>44865</c:v>
                </c:pt>
                <c:pt idx="31" c:formatCode="yyyy/m/d">
                  <c:v>44866</c:v>
                </c:pt>
                <c:pt idx="32" c:formatCode="yyyy/m/d">
                  <c:v>44867</c:v>
                </c:pt>
                <c:pt idx="33" c:formatCode="yyyy/m/d">
                  <c:v>44868</c:v>
                </c:pt>
                <c:pt idx="34" c:formatCode="yyyy/m/d">
                  <c:v>44869</c:v>
                </c:pt>
                <c:pt idx="35" c:formatCode="yyyy/m/d">
                  <c:v>44870</c:v>
                </c:pt>
                <c:pt idx="36" c:formatCode="yyyy/m/d">
                  <c:v>44871</c:v>
                </c:pt>
                <c:pt idx="37" c:formatCode="yyyy/m/d">
                  <c:v>44872</c:v>
                </c:pt>
                <c:pt idx="38" c:formatCode="yyyy/m/d">
                  <c:v>44873</c:v>
                </c:pt>
                <c:pt idx="39" c:formatCode="yyyy/m/d">
                  <c:v>44874</c:v>
                </c:pt>
                <c:pt idx="40" c:formatCode="yyyy/m/d">
                  <c:v>44875</c:v>
                </c:pt>
                <c:pt idx="41" c:formatCode="yyyy/m/d">
                  <c:v>44876</c:v>
                </c:pt>
                <c:pt idx="42" c:formatCode="yyyy/m/d">
                  <c:v>44877</c:v>
                </c:pt>
                <c:pt idx="43" c:formatCode="yyyy/m/d">
                  <c:v>44878</c:v>
                </c:pt>
                <c:pt idx="44" c:formatCode="yyyy/m/d">
                  <c:v>44879</c:v>
                </c:pt>
                <c:pt idx="45" c:formatCode="yyyy/m/d">
                  <c:v>44880</c:v>
                </c:pt>
                <c:pt idx="46" c:formatCode="yyyy/m/d">
                  <c:v>44881</c:v>
                </c:pt>
                <c:pt idx="47" c:formatCode="yyyy/m/d">
                  <c:v>44882</c:v>
                </c:pt>
                <c:pt idx="48" c:formatCode="yyyy/m/d">
                  <c:v>44883</c:v>
                </c:pt>
                <c:pt idx="49" c:formatCode="yyyy/m/d">
                  <c:v>44884</c:v>
                </c:pt>
                <c:pt idx="50" c:formatCode="yyyy/m/d">
                  <c:v>44885</c:v>
                </c:pt>
                <c:pt idx="51" c:formatCode="yyyy/m/d">
                  <c:v>44886</c:v>
                </c:pt>
                <c:pt idx="52" c:formatCode="yyyy/m/d">
                  <c:v>44887</c:v>
                </c:pt>
                <c:pt idx="53" c:formatCode="yyyy/m/d">
                  <c:v>44888</c:v>
                </c:pt>
                <c:pt idx="54" c:formatCode="yyyy/m/d">
                  <c:v>44889</c:v>
                </c:pt>
                <c:pt idx="55" c:formatCode="yyyy/m/d">
                  <c:v>44890</c:v>
                </c:pt>
                <c:pt idx="56" c:formatCode="yyyy/m/d">
                  <c:v>44891</c:v>
                </c:pt>
                <c:pt idx="57" c:formatCode="yyyy/m/d">
                  <c:v>44892</c:v>
                </c:pt>
                <c:pt idx="58" c:formatCode="yyyy/m/d">
                  <c:v>44893</c:v>
                </c:pt>
                <c:pt idx="59" c:formatCode="yyyy/m/d">
                  <c:v>44894</c:v>
                </c:pt>
                <c:pt idx="60" c:formatCode="yyyy/m/d">
                  <c:v>44895</c:v>
                </c:pt>
                <c:pt idx="61" c:formatCode="yyyy/m/d">
                  <c:v>44896</c:v>
                </c:pt>
                <c:pt idx="62" c:formatCode="yyyy/m/d">
                  <c:v>44897</c:v>
                </c:pt>
                <c:pt idx="63" c:formatCode="yyyy/m/d">
                  <c:v>44898</c:v>
                </c:pt>
                <c:pt idx="64" c:formatCode="yyyy/m/d">
                  <c:v>44899</c:v>
                </c:pt>
                <c:pt idx="65" c:formatCode="yyyy/m/d">
                  <c:v>44900</c:v>
                </c:pt>
                <c:pt idx="66" c:formatCode="yyyy/m/d">
                  <c:v>44901</c:v>
                </c:pt>
                <c:pt idx="67" c:formatCode="yyyy/m/d">
                  <c:v>44902</c:v>
                </c:pt>
                <c:pt idx="68" c:formatCode="yyyy/m/d">
                  <c:v>44903</c:v>
                </c:pt>
                <c:pt idx="69" c:formatCode="yyyy/m/d">
                  <c:v>44904</c:v>
                </c:pt>
                <c:pt idx="70" c:formatCode="yyyy/m/d">
                  <c:v>44905</c:v>
                </c:pt>
                <c:pt idx="71" c:formatCode="yyyy/m/d">
                  <c:v>44906</c:v>
                </c:pt>
                <c:pt idx="72" c:formatCode="yyyy/m/d">
                  <c:v>44907</c:v>
                </c:pt>
                <c:pt idx="73" c:formatCode="yyyy/m/d">
                  <c:v>44908</c:v>
                </c:pt>
                <c:pt idx="74" c:formatCode="yyyy/m/d">
                  <c:v>44909</c:v>
                </c:pt>
                <c:pt idx="75" c:formatCode="yyyy/m/d">
                  <c:v>44910</c:v>
                </c:pt>
                <c:pt idx="76" c:formatCode="yyyy/m/d">
                  <c:v>44911</c:v>
                </c:pt>
                <c:pt idx="77" c:formatCode="yyyy/m/d">
                  <c:v>44912</c:v>
                </c:pt>
                <c:pt idx="78" c:formatCode="yyyy/m/d">
                  <c:v>44913</c:v>
                </c:pt>
                <c:pt idx="79" c:formatCode="yyyy/m/d">
                  <c:v>44914</c:v>
                </c:pt>
                <c:pt idx="80" c:formatCode="yyyy/m/d">
                  <c:v>44915</c:v>
                </c:pt>
                <c:pt idx="81" c:formatCode="yyyy/m/d">
                  <c:v>44916</c:v>
                </c:pt>
                <c:pt idx="82" c:formatCode="yyyy/m/d">
                  <c:v>44917</c:v>
                </c:pt>
                <c:pt idx="83" c:formatCode="yyyy/m/d">
                  <c:v>44918</c:v>
                </c:pt>
                <c:pt idx="84" c:formatCode="yyyy/m/d">
                  <c:v>44919</c:v>
                </c:pt>
                <c:pt idx="85" c:formatCode="yyyy/m/d">
                  <c:v>44920</c:v>
                </c:pt>
                <c:pt idx="86" c:formatCode="yyyy/m/d">
                  <c:v>44921</c:v>
                </c:pt>
                <c:pt idx="87" c:formatCode="yyyy/m/d">
                  <c:v>44922</c:v>
                </c:pt>
                <c:pt idx="88" c:formatCode="yyyy/m/d">
                  <c:v>44923</c:v>
                </c:pt>
                <c:pt idx="89" c:formatCode="yyyy/m/d">
                  <c:v>44924</c:v>
                </c:pt>
                <c:pt idx="90" c:formatCode="yyyy/m/d">
                  <c:v>44925</c:v>
                </c:pt>
                <c:pt idx="91" c:formatCode="yyyy/m/d">
                  <c:v>44926</c:v>
                </c:pt>
              </c:numCache>
            </c:numRef>
          </c:cat>
          <c:val>
            <c:numRef>
              <c:f>'[走势图.xlsx]4季度 '!$C$1:$C$92</c:f>
              <c:numCache>
                <c:formatCode>0.00%</c:formatCode>
                <c:ptCount val="92"/>
                <c:pt idx="0">
                  <c:v>-9.83380863408545e-5</c:v>
                </c:pt>
                <c:pt idx="1">
                  <c:v>-9.83380863408545e-5</c:v>
                </c:pt>
                <c:pt idx="2">
                  <c:v>-9.83380863408545e-5</c:v>
                </c:pt>
                <c:pt idx="3">
                  <c:v>-9.83380863408545e-5</c:v>
                </c:pt>
                <c:pt idx="4">
                  <c:v>-9.83380863408545e-5</c:v>
                </c:pt>
                <c:pt idx="5">
                  <c:v>-0.000196676172681709</c:v>
                </c:pt>
                <c:pt idx="6">
                  <c:v>-0.000196676172681709</c:v>
                </c:pt>
                <c:pt idx="7">
                  <c:v>-0.000196676172681709</c:v>
                </c:pt>
                <c:pt idx="8">
                  <c:v>-0.000196676172681709</c:v>
                </c:pt>
                <c:pt idx="9">
                  <c:v>0.00226177598583943</c:v>
                </c:pt>
                <c:pt idx="10">
                  <c:v>0.00245845215852114</c:v>
                </c:pt>
                <c:pt idx="11">
                  <c:v>0.00265512833120285</c:v>
                </c:pt>
                <c:pt idx="12">
                  <c:v>0.00304848067656605</c:v>
                </c:pt>
                <c:pt idx="13">
                  <c:v>0.00304848067656605</c:v>
                </c:pt>
                <c:pt idx="14">
                  <c:v>0.00304848067656605</c:v>
                </c:pt>
                <c:pt idx="15">
                  <c:v>0.00304848067656605</c:v>
                </c:pt>
                <c:pt idx="16">
                  <c:v>0.00373684728095203</c:v>
                </c:pt>
                <c:pt idx="17">
                  <c:v>0.00403186153997437</c:v>
                </c:pt>
                <c:pt idx="18">
                  <c:v>0.00432687579899715</c:v>
                </c:pt>
                <c:pt idx="19">
                  <c:v>0.00373684728095203</c:v>
                </c:pt>
                <c:pt idx="20">
                  <c:v>0.00393352345363351</c:v>
                </c:pt>
                <c:pt idx="21">
                  <c:v>0.00393352345363351</c:v>
                </c:pt>
                <c:pt idx="22">
                  <c:v>0.00383518536729266</c:v>
                </c:pt>
                <c:pt idx="23">
                  <c:v>0.00442521388533801</c:v>
                </c:pt>
                <c:pt idx="24">
                  <c:v>0.00442521388533801</c:v>
                </c:pt>
                <c:pt idx="25">
                  <c:v>0.00452355197167886</c:v>
                </c:pt>
                <c:pt idx="26">
                  <c:v>0.0048185662307012</c:v>
                </c:pt>
                <c:pt idx="27">
                  <c:v>0.00501524240338291</c:v>
                </c:pt>
                <c:pt idx="28">
                  <c:v>0.00501524240338291</c:v>
                </c:pt>
                <c:pt idx="29">
                  <c:v>0.00501524240338291</c:v>
                </c:pt>
                <c:pt idx="30">
                  <c:v>0.00570360900776867</c:v>
                </c:pt>
                <c:pt idx="31">
                  <c:v>0.00599862326679124</c:v>
                </c:pt>
                <c:pt idx="32">
                  <c:v>0.00619529943947317</c:v>
                </c:pt>
                <c:pt idx="33">
                  <c:v>0.00639197561215465</c:v>
                </c:pt>
                <c:pt idx="34">
                  <c:v>0.00649031369849551</c:v>
                </c:pt>
                <c:pt idx="35">
                  <c:v>0.00639197561215465</c:v>
                </c:pt>
                <c:pt idx="36">
                  <c:v>0.00639197561215465</c:v>
                </c:pt>
                <c:pt idx="37">
                  <c:v>0.00688366604385893</c:v>
                </c:pt>
                <c:pt idx="38">
                  <c:v>0.00698200413019978</c:v>
                </c:pt>
                <c:pt idx="39">
                  <c:v>0.00708034221654064</c:v>
                </c:pt>
                <c:pt idx="40">
                  <c:v>0.00708034221654064</c:v>
                </c:pt>
                <c:pt idx="41">
                  <c:v>0.00698200413019978</c:v>
                </c:pt>
                <c:pt idx="42">
                  <c:v>0.00698200413019978</c:v>
                </c:pt>
                <c:pt idx="43">
                  <c:v>0.00698200413019978</c:v>
                </c:pt>
                <c:pt idx="44">
                  <c:v>0.00668698987117722</c:v>
                </c:pt>
                <c:pt idx="45">
                  <c:v>0.00619529943947317</c:v>
                </c:pt>
                <c:pt idx="46">
                  <c:v>0.00550693283508719</c:v>
                </c:pt>
                <c:pt idx="47">
                  <c:v>0.00531025666240548</c:v>
                </c:pt>
                <c:pt idx="48">
                  <c:v>0.00521191857606462</c:v>
                </c:pt>
                <c:pt idx="49">
                  <c:v>0.00521191857606462</c:v>
                </c:pt>
                <c:pt idx="50">
                  <c:v>0.00511358048972377</c:v>
                </c:pt>
                <c:pt idx="51">
                  <c:v>0.00462189005801972</c:v>
                </c:pt>
                <c:pt idx="52">
                  <c:v>0.00452355197167886</c:v>
                </c:pt>
                <c:pt idx="53">
                  <c:v>0.00452355197167886</c:v>
                </c:pt>
                <c:pt idx="54">
                  <c:v>0.00472022814436035</c:v>
                </c:pt>
                <c:pt idx="55">
                  <c:v>0.00491690431704206</c:v>
                </c:pt>
                <c:pt idx="56">
                  <c:v>0.00491690431704206</c:v>
                </c:pt>
                <c:pt idx="57">
                  <c:v>0.00491690431704206</c:v>
                </c:pt>
                <c:pt idx="58">
                  <c:v>0.00521191857606462</c:v>
                </c:pt>
                <c:pt idx="59">
                  <c:v>0.00472022814436035</c:v>
                </c:pt>
                <c:pt idx="60">
                  <c:v>0.00452355197167886</c:v>
                </c:pt>
                <c:pt idx="61">
                  <c:v>0.00432687579899715</c:v>
                </c:pt>
                <c:pt idx="62">
                  <c:v>0.00432687579899715</c:v>
                </c:pt>
                <c:pt idx="63">
                  <c:v>0.00432687579899715</c:v>
                </c:pt>
                <c:pt idx="64">
                  <c:v>0.00432687579899715</c:v>
                </c:pt>
                <c:pt idx="65">
                  <c:v>0.00472022814436035</c:v>
                </c:pt>
                <c:pt idx="66">
                  <c:v>0.00442521388533801</c:v>
                </c:pt>
                <c:pt idx="67">
                  <c:v>0.00413019962631522</c:v>
                </c:pt>
                <c:pt idx="68">
                  <c:v>0.00393352345363351</c:v>
                </c:pt>
                <c:pt idx="69">
                  <c:v>0.00393352345363351</c:v>
                </c:pt>
                <c:pt idx="70">
                  <c:v>0.00393352345363351</c:v>
                </c:pt>
                <c:pt idx="71">
                  <c:v>0.00383518536729266</c:v>
                </c:pt>
                <c:pt idx="72">
                  <c:v>0.00413019962631522</c:v>
                </c:pt>
                <c:pt idx="73">
                  <c:v>0.00265512833120285</c:v>
                </c:pt>
                <c:pt idx="74">
                  <c:v>0.00245845215852114</c:v>
                </c:pt>
                <c:pt idx="75">
                  <c:v>0.00295014259022541</c:v>
                </c:pt>
                <c:pt idx="76">
                  <c:v>0.00285180450388456</c:v>
                </c:pt>
                <c:pt idx="77">
                  <c:v>0.00285180450388456</c:v>
                </c:pt>
                <c:pt idx="78">
                  <c:v>0.00285180450388456</c:v>
                </c:pt>
                <c:pt idx="79">
                  <c:v>0.00344183302192946</c:v>
                </c:pt>
                <c:pt idx="80">
                  <c:v>0.00363850919461117</c:v>
                </c:pt>
                <c:pt idx="81">
                  <c:v>0.00373684728095203</c:v>
                </c:pt>
                <c:pt idx="82">
                  <c:v>0.00403186153997437</c:v>
                </c:pt>
                <c:pt idx="83">
                  <c:v>0.00442521388533801</c:v>
                </c:pt>
                <c:pt idx="84">
                  <c:v>0.00442521388533801</c:v>
                </c:pt>
                <c:pt idx="85">
                  <c:v>0.00442521388533801</c:v>
                </c:pt>
                <c:pt idx="86">
                  <c:v>0.00531025666240548</c:v>
                </c:pt>
                <c:pt idx="87">
                  <c:v>0.00531025666240548</c:v>
                </c:pt>
                <c:pt idx="88">
                  <c:v>0.00550693283508719</c:v>
                </c:pt>
                <c:pt idx="89">
                  <c:v>0.00580194709410953</c:v>
                </c:pt>
                <c:pt idx="90">
                  <c:v>0.00629363752581402</c:v>
                </c:pt>
                <c:pt idx="91">
                  <c:v>0.00639197561215465</c:v>
                </c:pt>
              </c:numCache>
            </c:numRef>
          </c:val>
          <c:smooth val="0"/>
        </c:ser>
        <c:ser>
          <c:idx val="1"/>
          <c:order val="1"/>
          <c:tx>
            <c:strRef>
              <c:f>"业绩比较基准收益率"</c:f>
              <c:strCache>
                <c:ptCount val="1"/>
                <c:pt idx="0">
                  <c:v>业绩比较基准收益率</c:v>
                </c:pt>
              </c:strCache>
            </c:strRef>
          </c:tx>
          <c:spPr>
            <a:ln w="28575" cap="rnd">
              <a:solidFill>
                <a:schemeClr val="accent2"/>
              </a:solidFill>
              <a:round/>
            </a:ln>
            <a:effectLst/>
          </c:spPr>
          <c:marker>
            <c:symbol val="none"/>
          </c:marker>
          <c:dLbls>
            <c:delete val="1"/>
          </c:dLbls>
          <c:cat>
            <c:numRef>
              <c:f>'[走势图.xlsx]4季度 '!$A$1:$A$92</c:f>
              <c:numCache>
                <c:formatCode>yyyy/m/d</c:formatCode>
                <c:ptCount val="92"/>
                <c:pt idx="0" c:formatCode="yyyy/m/d">
                  <c:v>44835</c:v>
                </c:pt>
                <c:pt idx="1" c:formatCode="yyyy/m/d">
                  <c:v>44836</c:v>
                </c:pt>
                <c:pt idx="2" c:formatCode="yyyy/m/d">
                  <c:v>44837</c:v>
                </c:pt>
                <c:pt idx="3" c:formatCode="yyyy/m/d">
                  <c:v>44838</c:v>
                </c:pt>
                <c:pt idx="4" c:formatCode="yyyy/m/d">
                  <c:v>44839</c:v>
                </c:pt>
                <c:pt idx="5" c:formatCode="yyyy/m/d">
                  <c:v>44840</c:v>
                </c:pt>
                <c:pt idx="6" c:formatCode="yyyy/m/d">
                  <c:v>44841</c:v>
                </c:pt>
                <c:pt idx="7" c:formatCode="yyyy/m/d">
                  <c:v>44842</c:v>
                </c:pt>
                <c:pt idx="8" c:formatCode="yyyy/m/d">
                  <c:v>44843</c:v>
                </c:pt>
                <c:pt idx="9" c:formatCode="yyyy/m/d">
                  <c:v>44844</c:v>
                </c:pt>
                <c:pt idx="10" c:formatCode="yyyy/m/d">
                  <c:v>44845</c:v>
                </c:pt>
                <c:pt idx="11" c:formatCode="yyyy/m/d">
                  <c:v>44846</c:v>
                </c:pt>
                <c:pt idx="12" c:formatCode="yyyy/m/d">
                  <c:v>44847</c:v>
                </c:pt>
                <c:pt idx="13" c:formatCode="yyyy/m/d">
                  <c:v>44848</c:v>
                </c:pt>
                <c:pt idx="14" c:formatCode="yyyy/m/d">
                  <c:v>44849</c:v>
                </c:pt>
                <c:pt idx="15" c:formatCode="yyyy/m/d">
                  <c:v>44850</c:v>
                </c:pt>
                <c:pt idx="16" c:formatCode="yyyy/m/d">
                  <c:v>44851</c:v>
                </c:pt>
                <c:pt idx="17" c:formatCode="yyyy/m/d">
                  <c:v>44852</c:v>
                </c:pt>
                <c:pt idx="18" c:formatCode="yyyy/m/d">
                  <c:v>44853</c:v>
                </c:pt>
                <c:pt idx="19" c:formatCode="yyyy/m/d">
                  <c:v>44854</c:v>
                </c:pt>
                <c:pt idx="20" c:formatCode="yyyy/m/d">
                  <c:v>44855</c:v>
                </c:pt>
                <c:pt idx="21" c:formatCode="yyyy/m/d">
                  <c:v>44856</c:v>
                </c:pt>
                <c:pt idx="22" c:formatCode="yyyy/m/d">
                  <c:v>44857</c:v>
                </c:pt>
                <c:pt idx="23" c:formatCode="yyyy/m/d">
                  <c:v>44858</c:v>
                </c:pt>
                <c:pt idx="24" c:formatCode="yyyy/m/d">
                  <c:v>44859</c:v>
                </c:pt>
                <c:pt idx="25" c:formatCode="yyyy/m/d">
                  <c:v>44860</c:v>
                </c:pt>
                <c:pt idx="26" c:formatCode="yyyy/m/d">
                  <c:v>44861</c:v>
                </c:pt>
                <c:pt idx="27" c:formatCode="yyyy/m/d">
                  <c:v>44862</c:v>
                </c:pt>
                <c:pt idx="28" c:formatCode="yyyy/m/d">
                  <c:v>44863</c:v>
                </c:pt>
                <c:pt idx="29" c:formatCode="yyyy/m/d">
                  <c:v>44864</c:v>
                </c:pt>
                <c:pt idx="30" c:formatCode="yyyy/m/d">
                  <c:v>44865</c:v>
                </c:pt>
                <c:pt idx="31" c:formatCode="yyyy/m/d">
                  <c:v>44866</c:v>
                </c:pt>
                <c:pt idx="32" c:formatCode="yyyy/m/d">
                  <c:v>44867</c:v>
                </c:pt>
                <c:pt idx="33" c:formatCode="yyyy/m/d">
                  <c:v>44868</c:v>
                </c:pt>
                <c:pt idx="34" c:formatCode="yyyy/m/d">
                  <c:v>44869</c:v>
                </c:pt>
                <c:pt idx="35" c:formatCode="yyyy/m/d">
                  <c:v>44870</c:v>
                </c:pt>
                <c:pt idx="36" c:formatCode="yyyy/m/d">
                  <c:v>44871</c:v>
                </c:pt>
                <c:pt idx="37" c:formatCode="yyyy/m/d">
                  <c:v>44872</c:v>
                </c:pt>
                <c:pt idx="38" c:formatCode="yyyy/m/d">
                  <c:v>44873</c:v>
                </c:pt>
                <c:pt idx="39" c:formatCode="yyyy/m/d">
                  <c:v>44874</c:v>
                </c:pt>
                <c:pt idx="40" c:formatCode="yyyy/m/d">
                  <c:v>44875</c:v>
                </c:pt>
                <c:pt idx="41" c:formatCode="yyyy/m/d">
                  <c:v>44876</c:v>
                </c:pt>
                <c:pt idx="42" c:formatCode="yyyy/m/d">
                  <c:v>44877</c:v>
                </c:pt>
                <c:pt idx="43" c:formatCode="yyyy/m/d">
                  <c:v>44878</c:v>
                </c:pt>
                <c:pt idx="44" c:formatCode="yyyy/m/d">
                  <c:v>44879</c:v>
                </c:pt>
                <c:pt idx="45" c:formatCode="yyyy/m/d">
                  <c:v>44880</c:v>
                </c:pt>
                <c:pt idx="46" c:formatCode="yyyy/m/d">
                  <c:v>44881</c:v>
                </c:pt>
                <c:pt idx="47" c:formatCode="yyyy/m/d">
                  <c:v>44882</c:v>
                </c:pt>
                <c:pt idx="48" c:formatCode="yyyy/m/d">
                  <c:v>44883</c:v>
                </c:pt>
                <c:pt idx="49" c:formatCode="yyyy/m/d">
                  <c:v>44884</c:v>
                </c:pt>
                <c:pt idx="50" c:formatCode="yyyy/m/d">
                  <c:v>44885</c:v>
                </c:pt>
                <c:pt idx="51" c:formatCode="yyyy/m/d">
                  <c:v>44886</c:v>
                </c:pt>
                <c:pt idx="52" c:formatCode="yyyy/m/d">
                  <c:v>44887</c:v>
                </c:pt>
                <c:pt idx="53" c:formatCode="yyyy/m/d">
                  <c:v>44888</c:v>
                </c:pt>
                <c:pt idx="54" c:formatCode="yyyy/m/d">
                  <c:v>44889</c:v>
                </c:pt>
                <c:pt idx="55" c:formatCode="yyyy/m/d">
                  <c:v>44890</c:v>
                </c:pt>
                <c:pt idx="56" c:formatCode="yyyy/m/d">
                  <c:v>44891</c:v>
                </c:pt>
                <c:pt idx="57" c:formatCode="yyyy/m/d">
                  <c:v>44892</c:v>
                </c:pt>
                <c:pt idx="58" c:formatCode="yyyy/m/d">
                  <c:v>44893</c:v>
                </c:pt>
                <c:pt idx="59" c:formatCode="yyyy/m/d">
                  <c:v>44894</c:v>
                </c:pt>
                <c:pt idx="60" c:formatCode="yyyy/m/d">
                  <c:v>44895</c:v>
                </c:pt>
                <c:pt idx="61" c:formatCode="yyyy/m/d">
                  <c:v>44896</c:v>
                </c:pt>
                <c:pt idx="62" c:formatCode="yyyy/m/d">
                  <c:v>44897</c:v>
                </c:pt>
                <c:pt idx="63" c:formatCode="yyyy/m/d">
                  <c:v>44898</c:v>
                </c:pt>
                <c:pt idx="64" c:formatCode="yyyy/m/d">
                  <c:v>44899</c:v>
                </c:pt>
                <c:pt idx="65" c:formatCode="yyyy/m/d">
                  <c:v>44900</c:v>
                </c:pt>
                <c:pt idx="66" c:formatCode="yyyy/m/d">
                  <c:v>44901</c:v>
                </c:pt>
                <c:pt idx="67" c:formatCode="yyyy/m/d">
                  <c:v>44902</c:v>
                </c:pt>
                <c:pt idx="68" c:formatCode="yyyy/m/d">
                  <c:v>44903</c:v>
                </c:pt>
                <c:pt idx="69" c:formatCode="yyyy/m/d">
                  <c:v>44904</c:v>
                </c:pt>
                <c:pt idx="70" c:formatCode="yyyy/m/d">
                  <c:v>44905</c:v>
                </c:pt>
                <c:pt idx="71" c:formatCode="yyyy/m/d">
                  <c:v>44906</c:v>
                </c:pt>
                <c:pt idx="72" c:formatCode="yyyy/m/d">
                  <c:v>44907</c:v>
                </c:pt>
                <c:pt idx="73" c:formatCode="yyyy/m/d">
                  <c:v>44908</c:v>
                </c:pt>
                <c:pt idx="74" c:formatCode="yyyy/m/d">
                  <c:v>44909</c:v>
                </c:pt>
                <c:pt idx="75" c:formatCode="yyyy/m/d">
                  <c:v>44910</c:v>
                </c:pt>
                <c:pt idx="76" c:formatCode="yyyy/m/d">
                  <c:v>44911</c:v>
                </c:pt>
                <c:pt idx="77" c:formatCode="yyyy/m/d">
                  <c:v>44912</c:v>
                </c:pt>
                <c:pt idx="78" c:formatCode="yyyy/m/d">
                  <c:v>44913</c:v>
                </c:pt>
                <c:pt idx="79" c:formatCode="yyyy/m/d">
                  <c:v>44914</c:v>
                </c:pt>
                <c:pt idx="80" c:formatCode="yyyy/m/d">
                  <c:v>44915</c:v>
                </c:pt>
                <c:pt idx="81" c:formatCode="yyyy/m/d">
                  <c:v>44916</c:v>
                </c:pt>
                <c:pt idx="82" c:formatCode="yyyy/m/d">
                  <c:v>44917</c:v>
                </c:pt>
                <c:pt idx="83" c:formatCode="yyyy/m/d">
                  <c:v>44918</c:v>
                </c:pt>
                <c:pt idx="84" c:formatCode="yyyy/m/d">
                  <c:v>44919</c:v>
                </c:pt>
                <c:pt idx="85" c:formatCode="yyyy/m/d">
                  <c:v>44920</c:v>
                </c:pt>
                <c:pt idx="86" c:formatCode="yyyy/m/d">
                  <c:v>44921</c:v>
                </c:pt>
                <c:pt idx="87" c:formatCode="yyyy/m/d">
                  <c:v>44922</c:v>
                </c:pt>
                <c:pt idx="88" c:formatCode="yyyy/m/d">
                  <c:v>44923</c:v>
                </c:pt>
                <c:pt idx="89" c:formatCode="yyyy/m/d">
                  <c:v>44924</c:v>
                </c:pt>
                <c:pt idx="90" c:formatCode="yyyy/m/d">
                  <c:v>44925</c:v>
                </c:pt>
                <c:pt idx="91" c:formatCode="yyyy/m/d">
                  <c:v>44926</c:v>
                </c:pt>
              </c:numCache>
            </c:numRef>
          </c:cat>
          <c:val>
            <c:numRef>
              <c:f>'[走势图.xlsx]4季度 '!$E$1:$E$92</c:f>
              <c:numCache>
                <c:formatCode>0.00%</c:formatCode>
                <c:ptCount val="92"/>
                <c:pt idx="0">
                  <c:v>0.000123287671232877</c:v>
                </c:pt>
                <c:pt idx="1">
                  <c:v>0.000246575342465753</c:v>
                </c:pt>
                <c:pt idx="2">
                  <c:v>0.00036986301369863</c:v>
                </c:pt>
                <c:pt idx="3">
                  <c:v>0.000493150684931507</c:v>
                </c:pt>
                <c:pt idx="4">
                  <c:v>0.000616438356164384</c:v>
                </c:pt>
                <c:pt idx="5">
                  <c:v>0.00073972602739726</c:v>
                </c:pt>
                <c:pt idx="6">
                  <c:v>0.000863013698630137</c:v>
                </c:pt>
                <c:pt idx="7">
                  <c:v>0.000986301369863014</c:v>
                </c:pt>
                <c:pt idx="8">
                  <c:v>0.00110958904109589</c:v>
                </c:pt>
                <c:pt idx="9">
                  <c:v>0.00123287671232877</c:v>
                </c:pt>
                <c:pt idx="10">
                  <c:v>0.00135616438356164</c:v>
                </c:pt>
                <c:pt idx="11">
                  <c:v>0.00147945205479452</c:v>
                </c:pt>
                <c:pt idx="12">
                  <c:v>0.0016027397260274</c:v>
                </c:pt>
                <c:pt idx="13">
                  <c:v>0.00172602739726027</c:v>
                </c:pt>
                <c:pt idx="14">
                  <c:v>0.00184931506849315</c:v>
                </c:pt>
                <c:pt idx="15">
                  <c:v>0.00197260273972603</c:v>
                </c:pt>
                <c:pt idx="16">
                  <c:v>0.0020958904109589</c:v>
                </c:pt>
                <c:pt idx="17">
                  <c:v>0.00221917808219178</c:v>
                </c:pt>
                <c:pt idx="18">
                  <c:v>0.00234246575342466</c:v>
                </c:pt>
                <c:pt idx="19">
                  <c:v>0.00246575342465753</c:v>
                </c:pt>
                <c:pt idx="20">
                  <c:v>0.00258904109589041</c:v>
                </c:pt>
                <c:pt idx="21">
                  <c:v>0.00271232876712329</c:v>
                </c:pt>
                <c:pt idx="22">
                  <c:v>0.00283561643835616</c:v>
                </c:pt>
                <c:pt idx="23">
                  <c:v>0.00295890410958904</c:v>
                </c:pt>
                <c:pt idx="24">
                  <c:v>0.00308219178082192</c:v>
                </c:pt>
                <c:pt idx="25">
                  <c:v>0.00320547945205479</c:v>
                </c:pt>
                <c:pt idx="26">
                  <c:v>0.00332876712328767</c:v>
                </c:pt>
                <c:pt idx="27">
                  <c:v>0.00345205479452055</c:v>
                </c:pt>
                <c:pt idx="28">
                  <c:v>0.00357534246575342</c:v>
                </c:pt>
                <c:pt idx="29">
                  <c:v>0.0036986301369863</c:v>
                </c:pt>
                <c:pt idx="30">
                  <c:v>0.00382191780821918</c:v>
                </c:pt>
                <c:pt idx="31">
                  <c:v>0.00394520547945205</c:v>
                </c:pt>
                <c:pt idx="32">
                  <c:v>0.00406849315068493</c:v>
                </c:pt>
                <c:pt idx="33">
                  <c:v>0.00419178082191781</c:v>
                </c:pt>
                <c:pt idx="34">
                  <c:v>0.00431506849315069</c:v>
                </c:pt>
                <c:pt idx="35">
                  <c:v>0.00443835616438356</c:v>
                </c:pt>
                <c:pt idx="36">
                  <c:v>0.00456164383561644</c:v>
                </c:pt>
                <c:pt idx="37">
                  <c:v>0.00468493150684931</c:v>
                </c:pt>
                <c:pt idx="38">
                  <c:v>0.00480821917808219</c:v>
                </c:pt>
                <c:pt idx="39">
                  <c:v>0.00493150684931507</c:v>
                </c:pt>
                <c:pt idx="40">
                  <c:v>0.00505479452054794</c:v>
                </c:pt>
                <c:pt idx="41">
                  <c:v>0.00517808219178082</c:v>
                </c:pt>
                <c:pt idx="42">
                  <c:v>0.0053013698630137</c:v>
                </c:pt>
                <c:pt idx="43">
                  <c:v>0.00542465753424658</c:v>
                </c:pt>
                <c:pt idx="44">
                  <c:v>0.00554794520547945</c:v>
                </c:pt>
                <c:pt idx="45">
                  <c:v>0.00567123287671233</c:v>
                </c:pt>
                <c:pt idx="46">
                  <c:v>0.00579452054794521</c:v>
                </c:pt>
                <c:pt idx="47">
                  <c:v>0.00591780821917808</c:v>
                </c:pt>
                <c:pt idx="48">
                  <c:v>0.00604109589041096</c:v>
                </c:pt>
                <c:pt idx="49">
                  <c:v>0.00616438356164384</c:v>
                </c:pt>
                <c:pt idx="50">
                  <c:v>0.00628767123287671</c:v>
                </c:pt>
                <c:pt idx="51">
                  <c:v>0.00641095890410959</c:v>
                </c:pt>
                <c:pt idx="52">
                  <c:v>0.00653424657534247</c:v>
                </c:pt>
                <c:pt idx="53">
                  <c:v>0.00665753424657534</c:v>
                </c:pt>
                <c:pt idx="54">
                  <c:v>0.00678082191780822</c:v>
                </c:pt>
                <c:pt idx="55">
                  <c:v>0.0069041095890411</c:v>
                </c:pt>
                <c:pt idx="56">
                  <c:v>0.00702739726027397</c:v>
                </c:pt>
                <c:pt idx="57">
                  <c:v>0.00715068493150685</c:v>
                </c:pt>
                <c:pt idx="58">
                  <c:v>0.00727397260273973</c:v>
                </c:pt>
                <c:pt idx="59">
                  <c:v>0.0073972602739726</c:v>
                </c:pt>
                <c:pt idx="60">
                  <c:v>0.00752054794520548</c:v>
                </c:pt>
                <c:pt idx="61">
                  <c:v>0.00764383561643836</c:v>
                </c:pt>
                <c:pt idx="62">
                  <c:v>0.00776712328767123</c:v>
                </c:pt>
                <c:pt idx="63">
                  <c:v>0.00789041095890411</c:v>
                </c:pt>
                <c:pt idx="64">
                  <c:v>0.00801369863013699</c:v>
                </c:pt>
                <c:pt idx="65">
                  <c:v>0.00813698630136986</c:v>
                </c:pt>
                <c:pt idx="66">
                  <c:v>0.00826027397260274</c:v>
                </c:pt>
                <c:pt idx="67">
                  <c:v>0.00838356164383562</c:v>
                </c:pt>
                <c:pt idx="68">
                  <c:v>0.00850684931506849</c:v>
                </c:pt>
                <c:pt idx="69">
                  <c:v>0.00863013698630137</c:v>
                </c:pt>
                <c:pt idx="70">
                  <c:v>0.00875342465753425</c:v>
                </c:pt>
                <c:pt idx="71">
                  <c:v>0.00887671232876712</c:v>
                </c:pt>
                <c:pt idx="72">
                  <c:v>0.009</c:v>
                </c:pt>
                <c:pt idx="73">
                  <c:v>0.00912328767123288</c:v>
                </c:pt>
                <c:pt idx="74">
                  <c:v>0.00924657534246575</c:v>
                </c:pt>
                <c:pt idx="75">
                  <c:v>0.00936986301369863</c:v>
                </c:pt>
                <c:pt idx="76">
                  <c:v>0.00949315068493151</c:v>
                </c:pt>
                <c:pt idx="77">
                  <c:v>0.00961643835616438</c:v>
                </c:pt>
                <c:pt idx="78">
                  <c:v>0.00973972602739726</c:v>
                </c:pt>
                <c:pt idx="79">
                  <c:v>0.00986301369863014</c:v>
                </c:pt>
                <c:pt idx="80">
                  <c:v>0.00998630136986301</c:v>
                </c:pt>
                <c:pt idx="81">
                  <c:v>0.0101095890410959</c:v>
                </c:pt>
                <c:pt idx="82">
                  <c:v>0.0102328767123288</c:v>
                </c:pt>
                <c:pt idx="83">
                  <c:v>0.0103561643835616</c:v>
                </c:pt>
                <c:pt idx="84">
                  <c:v>0.0104794520547945</c:v>
                </c:pt>
                <c:pt idx="85">
                  <c:v>0.0106027397260274</c:v>
                </c:pt>
                <c:pt idx="86">
                  <c:v>0.0107260273972603</c:v>
                </c:pt>
                <c:pt idx="87">
                  <c:v>0.0108493150684932</c:v>
                </c:pt>
                <c:pt idx="88">
                  <c:v>0.010972602739726</c:v>
                </c:pt>
                <c:pt idx="89">
                  <c:v>0.0110958904109589</c:v>
                </c:pt>
                <c:pt idx="90">
                  <c:v>0.0112191780821918</c:v>
                </c:pt>
                <c:pt idx="91">
                  <c:v>0.0113424657534247</c:v>
                </c:pt>
              </c:numCache>
            </c:numRef>
          </c:val>
          <c:smooth val="0"/>
        </c:ser>
        <c:dLbls>
          <c:showLegendKey val="0"/>
          <c:showVal val="0"/>
          <c:showCatName val="0"/>
          <c:showSerName val="0"/>
          <c:showPercent val="0"/>
          <c:showBubbleSize val="0"/>
        </c:dLbls>
        <c:marker val="0"/>
        <c:smooth val="0"/>
        <c:axId val="955332840"/>
        <c:axId val="178588510"/>
      </c:lineChart>
      <c:dateAx>
        <c:axId val="955332840"/>
        <c:scaling>
          <c:orientation val="minMax"/>
        </c:scaling>
        <c:delete val="0"/>
        <c:axPos val="b"/>
        <c:majorTickMark val="out"/>
        <c:minorTickMark val="none"/>
        <c:tickLblPos val="low"/>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8588510"/>
        <c:crosses val="autoZero"/>
        <c:auto val="1"/>
        <c:lblOffset val="100"/>
        <c:baseTimeUnit val="days"/>
      </c:dateAx>
      <c:valAx>
        <c:axId val="17858851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533284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516</Words>
  <Characters>2944</Characters>
  <Lines>24</Lines>
  <Paragraphs>6</Paragraphs>
  <TotalTime>0</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2019-11-25T09:18:00Z</dcterms:created>
  <dc:creator>gynsh</dc:creator>
  <cp:lastModifiedBy>gynsh</cp:lastModifiedBy>
  <cp:lastPrinted>2019-10-15T07:44:00Z</cp:lastPrinted>
  <dcterms:modified xsi:type="dcterms:W3CDTF">2023-01-17T06:03:49Z</dcterms:modified>
  <dc:title>贵阳农商银行“超值宝私享第1期”封闭式净值型理财产品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