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hint="eastAsia" w:ascii="宋体" w:hAnsi="宋体" w:eastAsia="宋体"/>
          <w:b/>
          <w:color w:val="000000"/>
          <w:sz w:val="32"/>
          <w:szCs w:val="32"/>
          <w:shd w:val="clear" w:color="auto" w:fill="FFFFFF"/>
          <w:lang w:eastAsia="zh-CN"/>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贵阳农商银行超值宝1年</w:t>
      </w:r>
      <w:r>
        <w:rPr>
          <w:rFonts w:hint="eastAsia" w:ascii="方正小标宋简体" w:hAnsi="宋体" w:eastAsia="方正小标宋简体"/>
          <w:color w:val="000000"/>
          <w:sz w:val="44"/>
          <w:szCs w:val="32"/>
          <w:shd w:val="clear" w:color="auto" w:fill="FFFFFF"/>
          <w:lang w:val="en-US" w:eastAsia="zh-CN"/>
        </w:rPr>
        <w:t>145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宋体" w:hAnsi="宋体"/>
          <w:b/>
          <w:color w:val="000000"/>
          <w:sz w:val="32"/>
          <w:szCs w:val="32"/>
          <w:shd w:val="clear" w:color="auto" w:fill="FFFFFF"/>
        </w:rPr>
      </w:pPr>
      <w:r>
        <w:rPr>
          <w:rFonts w:hint="eastAsia" w:ascii="仿宋" w:hAnsi="仿宋" w:eastAsia="仿宋"/>
          <w:b/>
          <w:color w:val="000000"/>
          <w:sz w:val="32"/>
          <w:szCs w:val="32"/>
          <w:shd w:val="clear" w:color="auto" w:fill="FFFFFF"/>
        </w:rPr>
        <w:t>产品托管人：兴业银行股份有限公司贵阳分行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rPr>
        <w:t>兴业银行股份有限公司贵阳分行，</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p>
      <w:pPr>
        <w:spacing w:before="156" w:beforeLines="50" w:after="156" w:afterLines="50" w:line="360" w:lineRule="auto"/>
        <w:jc w:val="center"/>
        <w:rPr>
          <w:rFonts w:hint="eastAsia" w:ascii="黑体" w:hAnsi="黑体" w:eastAsia="黑体"/>
          <w:sz w:val="24"/>
          <w:szCs w:val="24"/>
          <w:shd w:val="clear" w:color="auto" w:fill="FFFFFF"/>
        </w:rPr>
      </w:pPr>
      <w:bookmarkStart w:id="0" w:name="_Toc528772556"/>
      <w:bookmarkStart w:id="1" w:name="_Toc194311890"/>
    </w:p>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tbl>
      <w:tblPr>
        <w:tblStyle w:val="10"/>
        <w:tblpPr w:leftFromText="180" w:rightFromText="180" w:vertAnchor="text" w:horzAnchor="margin" w:tblpX="-688" w:tblpY="81"/>
        <w:tblW w:w="101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0"/>
        <w:gridCol w:w="7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产品名称</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w:t>
            </w:r>
            <w:r>
              <w:rPr>
                <w:rFonts w:hint="eastAsia" w:ascii="仿宋" w:hAnsi="仿宋" w:eastAsia="仿宋"/>
                <w:kern w:val="0"/>
                <w:szCs w:val="21"/>
                <w:shd w:val="clear" w:color="auto" w:fill="FFFFFF"/>
                <w:lang w:val="en-US" w:eastAsia="zh-CN"/>
              </w:rPr>
              <w:t>1年145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default" w:ascii="仿宋" w:hAnsi="仿宋" w:eastAsia="仿宋"/>
                <w:kern w:val="0"/>
                <w:szCs w:val="21"/>
                <w:shd w:val="clear" w:color="auto" w:fill="FFFFFF"/>
                <w:lang w:val="en-US"/>
              </w:rPr>
            </w:pPr>
            <w:r>
              <w:rPr>
                <w:rFonts w:hint="eastAsia"/>
                <w:lang w:eastAsia="zh-CN"/>
              </w:rPr>
              <w:t>C11883</w:t>
            </w:r>
            <w:r>
              <w:rPr>
                <w:rFonts w:hint="eastAsia"/>
                <w:lang w:val="en-US" w:eastAsia="zh-CN"/>
              </w:rPr>
              <w:t>22000067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3</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.30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1</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33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4.50</w:t>
            </w:r>
            <w:r>
              <w:rPr>
                <w:rFonts w:hint="eastAsia" w:ascii="仿宋" w:hAnsi="仿宋" w:eastAsia="仿宋"/>
                <w:szCs w:val="21"/>
                <w:shd w:val="clear" w:color="auto" w:fill="FFFFFF"/>
              </w:rPr>
              <w:t>%</w:t>
            </w:r>
            <w:r>
              <w:rPr>
                <w:rFonts w:hint="eastAsia" w:ascii="仿宋" w:hAnsi="仿宋" w:eastAsia="仿宋"/>
                <w:szCs w:val="21"/>
                <w:shd w:val="clear" w:color="auto" w:fill="FFFFFF"/>
                <w:lang w:val="en-US" w:eastAsia="zh-CN"/>
              </w:rPr>
              <w:t>-5.20%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兴业银行股份有限公司贵阳分行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282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33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highlight w:val="none"/>
                <w:shd w:val="clear" w:color="auto" w:fill="FFFFFF"/>
              </w:rPr>
            </w:pPr>
            <w:r>
              <w:rPr>
                <w:rFonts w:hint="eastAsia" w:ascii="仿宋" w:hAnsi="仿宋" w:eastAsia="仿宋"/>
                <w:szCs w:val="21"/>
                <w:highlight w:val="none"/>
                <w:shd w:val="clear" w:color="auto" w:fill="FFFFFF"/>
              </w:rPr>
              <w:t>户名：贵阳农村商业银行股份有限公司超值宝1年145期</w:t>
            </w:r>
          </w:p>
          <w:p>
            <w:pPr>
              <w:rPr>
                <w:rFonts w:hint="eastAsia" w:ascii="仿宋" w:hAnsi="仿宋" w:eastAsia="仿宋"/>
                <w:szCs w:val="21"/>
                <w:highlight w:val="none"/>
                <w:shd w:val="clear" w:color="auto" w:fill="FFFFFF"/>
                <w:lang w:val="en-US" w:eastAsia="zh-CN"/>
              </w:rPr>
            </w:pPr>
            <w:r>
              <w:rPr>
                <w:rFonts w:hint="eastAsia" w:ascii="仿宋" w:hAnsi="仿宋" w:eastAsia="仿宋"/>
                <w:szCs w:val="21"/>
                <w:highlight w:val="none"/>
                <w:shd w:val="clear" w:color="auto" w:fill="FFFFFF"/>
              </w:rPr>
              <w:t>账号：602010100100813105</w:t>
            </w:r>
          </w:p>
          <w:p>
            <w:pPr>
              <w:rPr>
                <w:rFonts w:ascii="仿宋" w:hAnsi="仿宋" w:eastAsia="仿宋"/>
                <w:szCs w:val="21"/>
                <w:highlight w:val="yellow"/>
                <w:shd w:val="clear" w:color="auto" w:fill="FFFFFF"/>
              </w:rPr>
            </w:pPr>
            <w:r>
              <w:rPr>
                <w:rFonts w:hint="eastAsia" w:ascii="仿宋" w:hAnsi="仿宋" w:eastAsia="仿宋"/>
                <w:szCs w:val="21"/>
                <w:highlight w:val="none"/>
                <w:shd w:val="clear" w:color="auto" w:fill="FFFFFF"/>
              </w:rPr>
              <w:t>开户行：</w:t>
            </w:r>
            <w:r>
              <w:rPr>
                <w:rFonts w:hint="eastAsia" w:ascii="仿宋" w:hAnsi="仿宋" w:eastAsia="仿宋"/>
                <w:szCs w:val="21"/>
                <w:highlight w:val="none"/>
                <w:shd w:val="clear" w:color="auto" w:fill="FFFFFF"/>
                <w:lang w:eastAsia="zh-CN"/>
              </w:rPr>
              <w:t>兴业银行股份有限公司贵阳分行</w:t>
            </w:r>
          </w:p>
        </w:tc>
      </w:tr>
    </w:tbl>
    <w:p>
      <w:pPr>
        <w:spacing w:before="156" w:beforeLines="50" w:after="156" w:afterLines="50" w:line="360" w:lineRule="auto"/>
        <w:rPr>
          <w:rFonts w:ascii="仿宋" w:hAnsi="仿宋" w:eastAsia="仿宋"/>
          <w:b/>
        </w:rPr>
      </w:pPr>
    </w:p>
    <w:p>
      <w:pPr>
        <w:widowControl/>
        <w:jc w:val="center"/>
        <w:rPr>
          <w:rFonts w:hint="eastAsia" w:ascii="黑体" w:hAnsi="黑体" w:eastAsia="黑体"/>
          <w:sz w:val="24"/>
          <w:szCs w:val="24"/>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-10,848.85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1,991,680.05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122,022,139.17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1.0169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rPr>
          <w:rFonts w:ascii="仿宋" w:hAnsi="仿宋" w:eastAsia="仿宋"/>
        </w:rPr>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pP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ascii="仿宋" w:hAnsi="仿宋" w:eastAsia="仿宋"/>
        </w:rPr>
      </w:pPr>
      <w:r>
        <w:rPr>
          <w:rFonts w:hint="eastAsia" w:ascii="仿宋" w:hAnsi="仿宋" w:eastAsia="仿宋"/>
          <w:lang w:val="en-US" w:eastAsia="zh-CN"/>
        </w:rPr>
        <w:t>3.2.1本期产品净值走势图</w:t>
      </w:r>
    </w:p>
    <w:p>
      <w:pPr>
        <w:spacing w:line="240" w:lineRule="auto"/>
        <w:rPr>
          <w:rFonts w:ascii="仿宋" w:hAnsi="仿宋" w:eastAsia="仿宋"/>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1.66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1.69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1.17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Pr>
          <w:rFonts w:hint="default"/>
          <w:sz w:val="24"/>
        </w:rPr>
        <w:t xml:space="preserve"> </w:t>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1.22</w:t>
      </w:r>
      <w:r>
        <w:rPr>
          <w:rFonts w:hint="eastAsia" w:ascii="仿宋" w:hAnsi="仿宋" w:eastAsia="仿宋"/>
          <w:color w:val="000000"/>
          <w:szCs w:val="21"/>
        </w:rPr>
        <w:t>亿元，截止2022年0</w:t>
      </w:r>
      <w:r>
        <w:rPr>
          <w:rFonts w:hint="eastAsia" w:ascii="仿宋" w:hAnsi="仿宋" w:eastAsia="仿宋"/>
          <w:color w:val="000000"/>
          <w:szCs w:val="21"/>
          <w:lang w:val="en-US" w:eastAsia="zh-CN"/>
        </w:rPr>
        <w:t>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1.0169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1.66</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134"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47,754,675.11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贵鑫财富1号资管计划</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40,833,453.74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国民信托-通汇1号13期</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33,609,187.67</w:t>
            </w:r>
          </w:p>
        </w:tc>
        <w:tc>
          <w:tcPr>
            <w:tcW w:w="2113"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27.50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center"/>
          </w:tcPr>
          <w:p>
            <w:pPr>
              <w:jc w:val="center"/>
              <w:rPr>
                <w:rFonts w:hint="eastAsia" w:ascii="仿宋" w:hAnsi="仿宋" w:eastAsia="仿宋"/>
                <w:color w:val="auto"/>
                <w:szCs w:val="21"/>
                <w:lang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122,197,316.52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122,197,316.52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99.99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12,806.14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1.20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122,210,123.86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lang w:val="en-US"/>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113,181,221.34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92.61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3,168,811.06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764,615.41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5,082,668.70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122,197,316.52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19中金05</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10478521.29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10240258.82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8.38 </w:t>
            </w:r>
          </w:p>
        </w:tc>
      </w:tr>
      <w:tr>
        <w:tblPrEx>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19中金03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5356151.34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4648839.68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22贵安G1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3364956.40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GC007</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3168811.06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2880927.46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2846028.63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2779536.81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1934809.14 </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47,698,840.63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pPr>
        <w:rPr>
          <w:rFonts w:hint="eastAsia" w:ascii="仿宋" w:hAnsi="仿宋" w:eastAsia="仿宋"/>
          <w:color w:val="000000"/>
          <w:szCs w:val="21"/>
          <w:lang w:eastAsia="zh-CN"/>
        </w:rPr>
      </w:pPr>
      <w:r>
        <w:rPr>
          <w:rFonts w:hint="eastAsia" w:ascii="宋体"/>
        </w:rPr>
        <w:tab/>
      </w:r>
      <w:r>
        <w:rPr>
          <w:rFonts w:hint="eastAsia" w:ascii="仿宋" w:hAnsi="仿宋" w:eastAsia="仿宋"/>
          <w:color w:val="000000"/>
          <w:szCs w:val="21"/>
        </w:rPr>
        <w:t>本报告期内，本计划</w:t>
      </w:r>
      <w:r>
        <w:rPr>
          <w:rFonts w:hint="eastAsia" w:ascii="仿宋" w:hAnsi="仿宋" w:eastAsia="仿宋"/>
          <w:color w:val="000000"/>
          <w:szCs w:val="21"/>
          <w:lang w:eastAsia="zh-CN"/>
        </w:rPr>
        <w:t>未</w:t>
      </w:r>
      <w:r>
        <w:rPr>
          <w:rFonts w:hint="eastAsia" w:ascii="仿宋" w:hAnsi="仿宋" w:eastAsia="仿宋"/>
          <w:color w:val="000000"/>
          <w:szCs w:val="21"/>
        </w:rPr>
        <w:t>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val="en-US"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val="en-US"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2022年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 xml:space="preserve">日 </w:t>
      </w:r>
    </w:p>
    <w:p>
      <w:pPr>
        <w:spacing w:line="360" w:lineRule="auto"/>
        <w:jc w:val="right"/>
        <w:rPr>
          <w:rFonts w:hint="eastAsia" w:ascii="宋体" w:hAnsi="宋体"/>
          <w:szCs w:val="21"/>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AxQHbFwe4VuFlyt+YUwXRcgI6XE=" w:salt="zpzKBAYFHPJrSIiDbe4N+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02390"/>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581092"/>
    <w:rsid w:val="05A14D31"/>
    <w:rsid w:val="05AE26D9"/>
    <w:rsid w:val="077D1837"/>
    <w:rsid w:val="08665360"/>
    <w:rsid w:val="09860979"/>
    <w:rsid w:val="0D901766"/>
    <w:rsid w:val="119D38F4"/>
    <w:rsid w:val="11F52987"/>
    <w:rsid w:val="12DA60B7"/>
    <w:rsid w:val="14AB3BE4"/>
    <w:rsid w:val="153D2966"/>
    <w:rsid w:val="17E41503"/>
    <w:rsid w:val="1A892A91"/>
    <w:rsid w:val="1A9C7578"/>
    <w:rsid w:val="235D70F6"/>
    <w:rsid w:val="278333F6"/>
    <w:rsid w:val="27F52FED"/>
    <w:rsid w:val="2D7E3F5C"/>
    <w:rsid w:val="2F4671E3"/>
    <w:rsid w:val="306C3042"/>
    <w:rsid w:val="31CE3823"/>
    <w:rsid w:val="33C40040"/>
    <w:rsid w:val="342153CB"/>
    <w:rsid w:val="34296D79"/>
    <w:rsid w:val="38353970"/>
    <w:rsid w:val="38D97024"/>
    <w:rsid w:val="38E926E9"/>
    <w:rsid w:val="3DD952CD"/>
    <w:rsid w:val="42277313"/>
    <w:rsid w:val="42293150"/>
    <w:rsid w:val="4264087B"/>
    <w:rsid w:val="43F3566A"/>
    <w:rsid w:val="447E1A87"/>
    <w:rsid w:val="44FC1717"/>
    <w:rsid w:val="457A406E"/>
    <w:rsid w:val="46CD3A39"/>
    <w:rsid w:val="476D2A9A"/>
    <w:rsid w:val="48E8631C"/>
    <w:rsid w:val="4996057B"/>
    <w:rsid w:val="4BDC62BF"/>
    <w:rsid w:val="4D870C30"/>
    <w:rsid w:val="4E47040F"/>
    <w:rsid w:val="4E8B3FB3"/>
    <w:rsid w:val="5119148F"/>
    <w:rsid w:val="51A03B59"/>
    <w:rsid w:val="52321244"/>
    <w:rsid w:val="53986600"/>
    <w:rsid w:val="57B47E4D"/>
    <w:rsid w:val="599B121E"/>
    <w:rsid w:val="5E660FCE"/>
    <w:rsid w:val="5FB15832"/>
    <w:rsid w:val="60450B80"/>
    <w:rsid w:val="62446D78"/>
    <w:rsid w:val="62775533"/>
    <w:rsid w:val="62C54F28"/>
    <w:rsid w:val="63926E74"/>
    <w:rsid w:val="6455585F"/>
    <w:rsid w:val="650A0CD8"/>
    <w:rsid w:val="67293354"/>
    <w:rsid w:val="68513422"/>
    <w:rsid w:val="68CC5C7E"/>
    <w:rsid w:val="6F2E4A04"/>
    <w:rsid w:val="705B15C4"/>
    <w:rsid w:val="73083B4A"/>
    <w:rsid w:val="737F3265"/>
    <w:rsid w:val="757F3635"/>
    <w:rsid w:val="78D66D4A"/>
    <w:rsid w:val="79751FD1"/>
    <w:rsid w:val="798D2AE9"/>
    <w:rsid w:val="7C400CEC"/>
    <w:rsid w:val="7C5A787B"/>
    <w:rsid w:val="7CA27CB2"/>
    <w:rsid w:val="7DEE77EE"/>
    <w:rsid w:val="7E843B57"/>
    <w:rsid w:val="7FA45B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7"/>
    <w:qFormat/>
    <w:uiPriority w:val="0"/>
    <w:pPr>
      <w:keepNext/>
      <w:keepLines/>
      <w:spacing w:before="340" w:after="330" w:line="576" w:lineRule="auto"/>
      <w:outlineLvl w:val="0"/>
    </w:pPr>
    <w:rPr>
      <w:b/>
      <w:kern w:val="44"/>
      <w:sz w:val="44"/>
    </w:rPr>
  </w:style>
  <w:style w:type="paragraph" w:styleId="3">
    <w:name w:val="heading 2"/>
    <w:basedOn w:val="1"/>
    <w:next w:val="1"/>
    <w:link w:val="18"/>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0"/>
    <w:pPr>
      <w:jc w:val="left"/>
    </w:pPr>
    <w:rPr>
      <w:rFonts w:ascii="Calibri" w:hAnsi="Calibri" w:cs="黑体"/>
      <w:szCs w:val="22"/>
    </w:rPr>
  </w:style>
  <w:style w:type="paragraph" w:styleId="5">
    <w:name w:val="Body Text"/>
    <w:basedOn w:val="1"/>
    <w:link w:val="22"/>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4"/>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3"/>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FollowedHyperlink"/>
    <w:basedOn w:val="12"/>
    <w:unhideWhenUsed/>
    <w:qFormat/>
    <w:uiPriority w:val="0"/>
    <w:rPr>
      <w:color w:val="000066"/>
      <w:sz w:val="18"/>
      <w:szCs w:val="18"/>
      <w:u w:val="single"/>
    </w:rPr>
  </w:style>
  <w:style w:type="character" w:styleId="14">
    <w:name w:val="Hyperlink"/>
    <w:basedOn w:val="12"/>
    <w:unhideWhenUsed/>
    <w:qFormat/>
    <w:uiPriority w:val="0"/>
    <w:rPr>
      <w:color w:val="000066"/>
      <w:sz w:val="18"/>
      <w:szCs w:val="18"/>
      <w:u w:val="single"/>
    </w:rPr>
  </w:style>
  <w:style w:type="character" w:styleId="15">
    <w:name w:val="annotation reference"/>
    <w:unhideWhenUsed/>
    <w:qFormat/>
    <w:uiPriority w:val="0"/>
    <w:rPr>
      <w:sz w:val="21"/>
    </w:rPr>
  </w:style>
  <w:style w:type="paragraph" w:customStyle="1" w:styleId="16">
    <w:name w:val="Table Paragraph"/>
    <w:basedOn w:val="1"/>
    <w:qFormat/>
    <w:uiPriority w:val="1"/>
    <w:pPr>
      <w:jc w:val="left"/>
    </w:pPr>
    <w:rPr>
      <w:kern w:val="0"/>
      <w:sz w:val="22"/>
      <w:lang w:eastAsia="en-US"/>
    </w:rPr>
  </w:style>
  <w:style w:type="character" w:customStyle="1" w:styleId="17">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8">
    <w:name w:val="标题 2 字符"/>
    <w:basedOn w:val="12"/>
    <w:link w:val="3"/>
    <w:semiHidden/>
    <w:qFormat/>
    <w:locked/>
    <w:uiPriority w:val="0"/>
    <w:rPr>
      <w:rFonts w:hint="default" w:ascii="Arial" w:hAnsi="Arial" w:eastAsia="黑体" w:cs="Times New Roman"/>
      <w:b/>
      <w:sz w:val="32"/>
      <w:szCs w:val="20"/>
    </w:rPr>
  </w:style>
  <w:style w:type="character" w:customStyle="1" w:styleId="19">
    <w:name w:val="批注文字 字符"/>
    <w:link w:val="4"/>
    <w:semiHidden/>
    <w:qFormat/>
    <w:locked/>
    <w:uiPriority w:val="0"/>
    <w:rPr>
      <w:rFonts w:hint="eastAsia" w:ascii="宋体" w:hAnsi="宋体" w:eastAsia="宋体"/>
    </w:rPr>
  </w:style>
  <w:style w:type="character" w:customStyle="1" w:styleId="20">
    <w:name w:val="页眉 字符"/>
    <w:basedOn w:val="12"/>
    <w:link w:val="8"/>
    <w:qFormat/>
    <w:locked/>
    <w:uiPriority w:val="99"/>
    <w:rPr>
      <w:sz w:val="18"/>
      <w:szCs w:val="18"/>
    </w:rPr>
  </w:style>
  <w:style w:type="character" w:customStyle="1" w:styleId="21">
    <w:name w:val="页脚 字符"/>
    <w:basedOn w:val="12"/>
    <w:link w:val="7"/>
    <w:qFormat/>
    <w:locked/>
    <w:uiPriority w:val="99"/>
    <w:rPr>
      <w:sz w:val="18"/>
      <w:szCs w:val="18"/>
    </w:rPr>
  </w:style>
  <w:style w:type="character" w:customStyle="1" w:styleId="22">
    <w:name w:val="正文文本 字符"/>
    <w:basedOn w:val="12"/>
    <w:link w:val="5"/>
    <w:semiHidden/>
    <w:qFormat/>
    <w:locked/>
    <w:uiPriority w:val="1"/>
    <w:rPr>
      <w:rFonts w:hint="eastAsia" w:ascii="宋体" w:hAnsi="宋体" w:eastAsia="宋体"/>
      <w:sz w:val="18"/>
      <w:szCs w:val="18"/>
      <w:lang w:eastAsia="en-US"/>
    </w:rPr>
  </w:style>
  <w:style w:type="character" w:customStyle="1" w:styleId="23">
    <w:name w:val="批注主题 字符"/>
    <w:basedOn w:val="19"/>
    <w:link w:val="9"/>
    <w:semiHidden/>
    <w:qFormat/>
    <w:locked/>
    <w:uiPriority w:val="99"/>
    <w:rPr>
      <w:rFonts w:hint="default" w:ascii="Times New Roman" w:hAnsi="Times New Roman" w:eastAsia="宋体" w:cs="Times New Roman"/>
      <w:b/>
      <w:bCs/>
      <w:kern w:val="2"/>
      <w:sz w:val="21"/>
    </w:rPr>
  </w:style>
  <w:style w:type="character" w:customStyle="1" w:styleId="24">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5">
    <w:name w:val="批注文字 Char1"/>
    <w:basedOn w:val="12"/>
    <w:semiHidden/>
    <w:qFormat/>
    <w:uiPriority w:val="99"/>
    <w:rPr>
      <w:rFonts w:hint="default"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1.0005</c:v>
                </c:pt>
                <c:pt idx="1">
                  <c:v>1.0005</c:v>
                </c:pt>
                <c:pt idx="2">
                  <c:v>1.0005</c:v>
                </c:pt>
                <c:pt idx="3">
                  <c:v>1.0009</c:v>
                </c:pt>
                <c:pt idx="4">
                  <c:v>1.001</c:v>
                </c:pt>
                <c:pt idx="5">
                  <c:v>1.0011</c:v>
                </c:pt>
                <c:pt idx="6">
                  <c:v>1.0012</c:v>
                </c:pt>
                <c:pt idx="7">
                  <c:v>1.0012</c:v>
                </c:pt>
                <c:pt idx="8">
                  <c:v>1.0012</c:v>
                </c:pt>
                <c:pt idx="9">
                  <c:v>1.0012</c:v>
                </c:pt>
                <c:pt idx="10">
                  <c:v>1.0012</c:v>
                </c:pt>
                <c:pt idx="11">
                  <c:v>1.0012</c:v>
                </c:pt>
                <c:pt idx="12">
                  <c:v>1.0012</c:v>
                </c:pt>
                <c:pt idx="13">
                  <c:v>1.0013</c:v>
                </c:pt>
                <c:pt idx="14">
                  <c:v>1.0013</c:v>
                </c:pt>
                <c:pt idx="15">
                  <c:v>1.0013</c:v>
                </c:pt>
                <c:pt idx="16">
                  <c:v>1.0013</c:v>
                </c:pt>
                <c:pt idx="17">
                  <c:v>1.0014</c:v>
                </c:pt>
                <c:pt idx="18">
                  <c:v>1.0015</c:v>
                </c:pt>
                <c:pt idx="19">
                  <c:v>1.0015</c:v>
                </c:pt>
                <c:pt idx="20">
                  <c:v>1.0018</c:v>
                </c:pt>
                <c:pt idx="21">
                  <c:v>1.002</c:v>
                </c:pt>
                <c:pt idx="22">
                  <c:v>1.0019</c:v>
                </c:pt>
                <c:pt idx="23">
                  <c:v>1.0019</c:v>
                </c:pt>
                <c:pt idx="24">
                  <c:v>1.0029</c:v>
                </c:pt>
                <c:pt idx="25">
                  <c:v>1.0032</c:v>
                </c:pt>
                <c:pt idx="26">
                  <c:v>1.0038</c:v>
                </c:pt>
                <c:pt idx="27">
                  <c:v>1.0042</c:v>
                </c:pt>
                <c:pt idx="28">
                  <c:v>1.0044</c:v>
                </c:pt>
                <c:pt idx="29">
                  <c:v>1.0044</c:v>
                </c:pt>
                <c:pt idx="30">
                  <c:v>1.0047</c:v>
                </c:pt>
                <c:pt idx="31">
                  <c:v>1.0053</c:v>
                </c:pt>
                <c:pt idx="32">
                  <c:v>1.0057</c:v>
                </c:pt>
                <c:pt idx="33">
                  <c:v>1.0059</c:v>
                </c:pt>
                <c:pt idx="34">
                  <c:v>1.0063</c:v>
                </c:pt>
                <c:pt idx="35">
                  <c:v>1.0063</c:v>
                </c:pt>
                <c:pt idx="36">
                  <c:v>1.0063</c:v>
                </c:pt>
                <c:pt idx="37">
                  <c:v>1.0063</c:v>
                </c:pt>
                <c:pt idx="38">
                  <c:v>1.0068</c:v>
                </c:pt>
                <c:pt idx="39">
                  <c:v>1.007</c:v>
                </c:pt>
                <c:pt idx="40">
                  <c:v>1.0071</c:v>
                </c:pt>
                <c:pt idx="41">
                  <c:v>1.0071</c:v>
                </c:pt>
                <c:pt idx="42">
                  <c:v>1.0073</c:v>
                </c:pt>
                <c:pt idx="43">
                  <c:v>1.0073</c:v>
                </c:pt>
                <c:pt idx="44">
                  <c:v>1.0073</c:v>
                </c:pt>
                <c:pt idx="45">
                  <c:v>1.0084</c:v>
                </c:pt>
                <c:pt idx="46">
                  <c:v>1.009</c:v>
                </c:pt>
                <c:pt idx="47">
                  <c:v>1.0092</c:v>
                </c:pt>
                <c:pt idx="48">
                  <c:v>1.0095</c:v>
                </c:pt>
                <c:pt idx="49">
                  <c:v>1.0098</c:v>
                </c:pt>
                <c:pt idx="50">
                  <c:v>1.0098</c:v>
                </c:pt>
                <c:pt idx="51">
                  <c:v>1.0097</c:v>
                </c:pt>
                <c:pt idx="52">
                  <c:v>1.0104</c:v>
                </c:pt>
                <c:pt idx="53">
                  <c:v>1.0105</c:v>
                </c:pt>
                <c:pt idx="54">
                  <c:v>1.0107</c:v>
                </c:pt>
                <c:pt idx="55">
                  <c:v>1.0106</c:v>
                </c:pt>
                <c:pt idx="56">
                  <c:v>1.0106</c:v>
                </c:pt>
                <c:pt idx="57">
                  <c:v>1.0106</c:v>
                </c:pt>
                <c:pt idx="58">
                  <c:v>1.0106</c:v>
                </c:pt>
                <c:pt idx="59">
                  <c:v>1.011</c:v>
                </c:pt>
                <c:pt idx="60">
                  <c:v>1.0111</c:v>
                </c:pt>
                <c:pt idx="61">
                  <c:v>1.0109</c:v>
                </c:pt>
                <c:pt idx="62">
                  <c:v>1.0111</c:v>
                </c:pt>
                <c:pt idx="63">
                  <c:v>1.0115</c:v>
                </c:pt>
                <c:pt idx="64">
                  <c:v>1.0115</c:v>
                </c:pt>
                <c:pt idx="65">
                  <c:v>1.0114</c:v>
                </c:pt>
                <c:pt idx="66">
                  <c:v>1.0122</c:v>
                </c:pt>
                <c:pt idx="67">
                  <c:v>1.0125</c:v>
                </c:pt>
                <c:pt idx="68">
                  <c:v>1.0128</c:v>
                </c:pt>
                <c:pt idx="69">
                  <c:v>1.0132</c:v>
                </c:pt>
                <c:pt idx="70">
                  <c:v>1.0135</c:v>
                </c:pt>
                <c:pt idx="71">
                  <c:v>1.0135</c:v>
                </c:pt>
                <c:pt idx="72">
                  <c:v>1.0135</c:v>
                </c:pt>
                <c:pt idx="73">
                  <c:v>1.0134</c:v>
                </c:pt>
                <c:pt idx="74">
                  <c:v>1.0141</c:v>
                </c:pt>
                <c:pt idx="75">
                  <c:v>1.0142</c:v>
                </c:pt>
                <c:pt idx="76">
                  <c:v>1.0144</c:v>
                </c:pt>
                <c:pt idx="77">
                  <c:v>1.0146</c:v>
                </c:pt>
                <c:pt idx="78">
                  <c:v>1.0146</c:v>
                </c:pt>
                <c:pt idx="79">
                  <c:v>1.0146</c:v>
                </c:pt>
                <c:pt idx="80">
                  <c:v>1.0151</c:v>
                </c:pt>
                <c:pt idx="81">
                  <c:v>1.0153</c:v>
                </c:pt>
                <c:pt idx="82">
                  <c:v>1.0156</c:v>
                </c:pt>
                <c:pt idx="83">
                  <c:v>1.0159</c:v>
                </c:pt>
                <c:pt idx="84">
                  <c:v>1.0161</c:v>
                </c:pt>
                <c:pt idx="85">
                  <c:v>1.0161</c:v>
                </c:pt>
                <c:pt idx="86">
                  <c:v>1.0161</c:v>
                </c:pt>
                <c:pt idx="87">
                  <c:v>1.0166</c:v>
                </c:pt>
                <c:pt idx="88">
                  <c:v>1.0166</c:v>
                </c:pt>
                <c:pt idx="89">
                  <c:v>1.0167</c:v>
                </c:pt>
                <c:pt idx="90">
                  <c:v>1.0168</c:v>
                </c:pt>
                <c:pt idx="91">
                  <c:v>1.0169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383872613321674"/>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0.000199940017994615</c:v>
                </c:pt>
                <c:pt idx="1">
                  <c:v>0.000199940017994615</c:v>
                </c:pt>
                <c:pt idx="2">
                  <c:v>0.000199940017994615</c:v>
                </c:pt>
                <c:pt idx="3">
                  <c:v>0.000599820053983846</c:v>
                </c:pt>
                <c:pt idx="4">
                  <c:v>0.000699790062981043</c:v>
                </c:pt>
                <c:pt idx="5">
                  <c:v>0.000799760071978461</c:v>
                </c:pt>
                <c:pt idx="6">
                  <c:v>0.00089973008097588</c:v>
                </c:pt>
                <c:pt idx="7">
                  <c:v>0.00089973008097588</c:v>
                </c:pt>
                <c:pt idx="8">
                  <c:v>0.00089973008097588</c:v>
                </c:pt>
                <c:pt idx="9">
                  <c:v>0.00089973008097588</c:v>
                </c:pt>
                <c:pt idx="10">
                  <c:v>0.00089973008097588</c:v>
                </c:pt>
                <c:pt idx="11">
                  <c:v>0.00089973008097588</c:v>
                </c:pt>
                <c:pt idx="12">
                  <c:v>0.00089973008097588</c:v>
                </c:pt>
                <c:pt idx="13">
                  <c:v>0.000999700089973077</c:v>
                </c:pt>
                <c:pt idx="14">
                  <c:v>0.000999700089973077</c:v>
                </c:pt>
                <c:pt idx="15">
                  <c:v>0.000999700089973077</c:v>
                </c:pt>
                <c:pt idx="16">
                  <c:v>0.000999700089973077</c:v>
                </c:pt>
                <c:pt idx="17">
                  <c:v>0.0010996700989705</c:v>
                </c:pt>
                <c:pt idx="18">
                  <c:v>0.00119964010796769</c:v>
                </c:pt>
                <c:pt idx="19">
                  <c:v>0.00119964010796769</c:v>
                </c:pt>
                <c:pt idx="20">
                  <c:v>0.0014995501349595</c:v>
                </c:pt>
                <c:pt idx="21">
                  <c:v>0.00169949015295412</c:v>
                </c:pt>
                <c:pt idx="22">
                  <c:v>0.00159952014395692</c:v>
                </c:pt>
                <c:pt idx="23">
                  <c:v>0.00159952014395692</c:v>
                </c:pt>
                <c:pt idx="24">
                  <c:v>0.00259922023392978</c:v>
                </c:pt>
                <c:pt idx="25">
                  <c:v>0.00289913026092181</c:v>
                </c:pt>
                <c:pt idx="26">
                  <c:v>0.00349895031490566</c:v>
                </c:pt>
                <c:pt idx="27">
                  <c:v>0.00389883035089467</c:v>
                </c:pt>
                <c:pt idx="28">
                  <c:v>0.00409877036888928</c:v>
                </c:pt>
                <c:pt idx="29">
                  <c:v>0.00409877036888928</c:v>
                </c:pt>
                <c:pt idx="30">
                  <c:v>0.00439868039588109</c:v>
                </c:pt>
                <c:pt idx="31">
                  <c:v>0.00499850044986516</c:v>
                </c:pt>
                <c:pt idx="32">
                  <c:v>0.00539838048585439</c:v>
                </c:pt>
                <c:pt idx="33">
                  <c:v>0.00559832050384879</c:v>
                </c:pt>
                <c:pt idx="34">
                  <c:v>0.00599820053983802</c:v>
                </c:pt>
                <c:pt idx="35">
                  <c:v>0.00599820053983802</c:v>
                </c:pt>
                <c:pt idx="36">
                  <c:v>0.00599820053983802</c:v>
                </c:pt>
                <c:pt idx="37">
                  <c:v>0.00599820053983802</c:v>
                </c:pt>
                <c:pt idx="38">
                  <c:v>0.00649805058482444</c:v>
                </c:pt>
                <c:pt idx="39">
                  <c:v>0.00669799060281906</c:v>
                </c:pt>
                <c:pt idx="40">
                  <c:v>0.0067979606118167</c:v>
                </c:pt>
                <c:pt idx="41">
                  <c:v>0.0067979606118167</c:v>
                </c:pt>
                <c:pt idx="42">
                  <c:v>0.00699790062981109</c:v>
                </c:pt>
                <c:pt idx="43">
                  <c:v>0.00699790062981109</c:v>
                </c:pt>
                <c:pt idx="44">
                  <c:v>0.00699790062981109</c:v>
                </c:pt>
                <c:pt idx="45">
                  <c:v>0.00809757072878137</c:v>
                </c:pt>
                <c:pt idx="46">
                  <c:v>0.00869739078276499</c:v>
                </c:pt>
                <c:pt idx="47">
                  <c:v>0.00889733080075983</c:v>
                </c:pt>
                <c:pt idx="48">
                  <c:v>0.00919724082775186</c:v>
                </c:pt>
                <c:pt idx="49">
                  <c:v>0.00949715085474367</c:v>
                </c:pt>
                <c:pt idx="50">
                  <c:v>0.00949715085474367</c:v>
                </c:pt>
                <c:pt idx="51">
                  <c:v>0.00939718084574626</c:v>
                </c:pt>
                <c:pt idx="52">
                  <c:v>0.0100969709087273</c:v>
                </c:pt>
                <c:pt idx="53">
                  <c:v>0.0101969409177247</c:v>
                </c:pt>
                <c:pt idx="54">
                  <c:v>0.0103968809357193</c:v>
                </c:pt>
                <c:pt idx="55">
                  <c:v>0.0102969109267219</c:v>
                </c:pt>
                <c:pt idx="56">
                  <c:v>0.0102969109267219</c:v>
                </c:pt>
                <c:pt idx="57">
                  <c:v>0.0102969109267219</c:v>
                </c:pt>
                <c:pt idx="58">
                  <c:v>0.0102969109267219</c:v>
                </c:pt>
                <c:pt idx="59">
                  <c:v>0.0106967909627111</c:v>
                </c:pt>
                <c:pt idx="60">
                  <c:v>0.0107967609717086</c:v>
                </c:pt>
                <c:pt idx="61">
                  <c:v>0.0105968209537137</c:v>
                </c:pt>
                <c:pt idx="62">
                  <c:v>0.0107967609717086</c:v>
                </c:pt>
                <c:pt idx="63">
                  <c:v>0.0111966410076978</c:v>
                </c:pt>
                <c:pt idx="64">
                  <c:v>0.0111966410076978</c:v>
                </c:pt>
                <c:pt idx="65">
                  <c:v>0.0110966709987006</c:v>
                </c:pt>
                <c:pt idx="66">
                  <c:v>0.0118964310706788</c:v>
                </c:pt>
                <c:pt idx="67">
                  <c:v>0.0121963410976706</c:v>
                </c:pt>
                <c:pt idx="68">
                  <c:v>0.0124962511246625</c:v>
                </c:pt>
                <c:pt idx="69">
                  <c:v>0.0128961311606519</c:v>
                </c:pt>
                <c:pt idx="70">
                  <c:v>0.0131960411876437</c:v>
                </c:pt>
                <c:pt idx="71">
                  <c:v>0.0131960411876437</c:v>
                </c:pt>
                <c:pt idx="72">
                  <c:v>0.0131960411876437</c:v>
                </c:pt>
                <c:pt idx="73">
                  <c:v>0.0130960711786465</c:v>
                </c:pt>
                <c:pt idx="74">
                  <c:v>0.0137958612416276</c:v>
                </c:pt>
                <c:pt idx="75">
                  <c:v>0.0138958312506248</c:v>
                </c:pt>
                <c:pt idx="76">
                  <c:v>0.0140957712686194</c:v>
                </c:pt>
                <c:pt idx="77">
                  <c:v>0.014295711286614</c:v>
                </c:pt>
                <c:pt idx="78">
                  <c:v>0.014295711286614</c:v>
                </c:pt>
                <c:pt idx="79">
                  <c:v>0.014295711286614</c:v>
                </c:pt>
                <c:pt idx="80">
                  <c:v>0.0147955613316004</c:v>
                </c:pt>
                <c:pt idx="81">
                  <c:v>0.0149955013495953</c:v>
                </c:pt>
                <c:pt idx="82">
                  <c:v>0.0152954113765871</c:v>
                </c:pt>
                <c:pt idx="83">
                  <c:v>0.0155953214035789</c:v>
                </c:pt>
                <c:pt idx="84">
                  <c:v>0.0157952614215735</c:v>
                </c:pt>
                <c:pt idx="85">
                  <c:v>0.0157952614215735</c:v>
                </c:pt>
                <c:pt idx="86">
                  <c:v>0.0157952614215735</c:v>
                </c:pt>
                <c:pt idx="87">
                  <c:v>0.0162951114665599</c:v>
                </c:pt>
                <c:pt idx="88">
                  <c:v>0.0162951114665599</c:v>
                </c:pt>
                <c:pt idx="89">
                  <c:v>0.0163950814755573</c:v>
                </c:pt>
                <c:pt idx="90">
                  <c:v>0.0164950514845545</c:v>
                </c:pt>
                <c:pt idx="91">
                  <c:v>0.016595021493552</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2022-10-25T01:49:52Z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