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olors1.xml" ContentType="application/vnd.ms-office.chartcolorstyle+xml"/>
  <Override PartName="/word/charts/style1.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color w:val="000000" w:themeColor="text1"/>
          <w:sz w:val="48"/>
          <w:szCs w:val="48"/>
          <w:u w:val="single"/>
          <w:shd w:val="clear" w:color="auto" w:fill="FFFFFF"/>
          <w14:textFill>
            <w14:solidFill>
              <w14:schemeClr w14:val="tx1"/>
            </w14:solidFill>
          </w14:textFill>
        </w:rPr>
      </w:pPr>
      <w:r>
        <w:rPr>
          <w:rFonts w:hint="eastAsia" w:ascii="宋体" w:hAnsi="宋体"/>
          <w:color w:val="000000" w:themeColor="text1"/>
          <w:sz w:val="48"/>
          <w:szCs w:val="48"/>
          <w:shd w:val="clear" w:color="auto" w:fill="FFFFFF"/>
          <w14:textFill>
            <w14:solidFill>
              <w14:schemeClr w14:val="tx1"/>
            </w14:solidFill>
          </w14:textFill>
        </w:rPr>
        <w:t>超值宝1年108期理财产品</w:t>
      </w:r>
    </w:p>
    <w:p>
      <w:pPr>
        <w:spacing w:before="156" w:beforeLines="50" w:after="156" w:afterLines="50" w:line="360" w:lineRule="auto"/>
        <w:jc w:val="center"/>
        <w:rPr>
          <w:rFonts w:ascii="宋体" w:hAnsi="宋体"/>
          <w:color w:val="000000" w:themeColor="text1"/>
          <w:sz w:val="48"/>
          <w:szCs w:val="48"/>
          <w14:textFill>
            <w14:solidFill>
              <w14:schemeClr w14:val="tx1"/>
            </w14:solidFill>
          </w14:textFill>
        </w:rPr>
      </w:pPr>
      <w:r>
        <w:rPr>
          <w:rFonts w:ascii="宋体" w:hAnsi="宋体"/>
          <w:color w:val="000000" w:themeColor="text1"/>
          <w:sz w:val="48"/>
          <w:szCs w:val="48"/>
          <w:shd w:val="clear" w:color="auto" w:fill="FFFFFF"/>
          <w14:textFill>
            <w14:solidFill>
              <w14:schemeClr w14:val="tx1"/>
            </w14:solidFill>
          </w14:textFill>
        </w:rPr>
        <w:t>2022年半年度</w:t>
      </w:r>
      <w:r>
        <w:rPr>
          <w:rFonts w:hint="eastAsia" w:ascii="宋体" w:hAnsi="宋体"/>
          <w:color w:val="000000" w:themeColor="text1"/>
          <w:sz w:val="48"/>
          <w:szCs w:val="48"/>
          <w:shd w:val="clear" w:color="auto" w:fill="FFFFFF"/>
          <w14:textFill>
            <w14:solidFill>
              <w14:schemeClr w14:val="tx1"/>
            </w14:solidFill>
          </w14:textFill>
        </w:rPr>
        <w:t>报告</w:t>
      </w: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r>
        <w:rPr>
          <w:rFonts w:ascii="宋体" w:hAnsi="宋体"/>
          <w:b/>
          <w:color w:val="000000" w:themeColor="text1"/>
          <w:sz w:val="32"/>
          <w:szCs w:val="32"/>
          <w:shd w:val="clear" w:color="auto" w:fill="FFFFFF"/>
          <w14:textFill>
            <w14:solidFill>
              <w14:schemeClr w14:val="tx1"/>
            </w14:solidFill>
          </w14:textFill>
        </w:rPr>
        <w:t>2022年06月30日</w:t>
      </w:r>
      <w:bookmarkStart w:id="0" w:name="OLE_LINK1"/>
      <w:bookmarkEnd w:id="0"/>
      <w:bookmarkStart w:id="1" w:name="OLE_LINK2"/>
      <w:bookmarkEnd w:id="1"/>
      <w:bookmarkStart w:id="2" w:name="OLE_LINK3"/>
      <w:bookmarkEnd w:id="2"/>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r>
        <w:rPr>
          <w:rFonts w:hint="eastAsia" w:ascii="宋体" w:hAnsi="宋体"/>
          <w:b/>
          <w:color w:val="000000" w:themeColor="text1"/>
          <w:sz w:val="32"/>
          <w:szCs w:val="32"/>
          <w:shd w:val="clear" w:color="auto" w:fill="FFFFFF"/>
          <w14:textFill>
            <w14:solidFill>
              <w14:schemeClr w14:val="tx1"/>
            </w14:solidFill>
          </w14:textFill>
        </w:rPr>
        <w:t>产品管理人：</w:t>
      </w:r>
      <w:r>
        <w:rPr>
          <w:rFonts w:ascii="宋体" w:hAnsi="宋体"/>
          <w:b/>
          <w:color w:val="000000" w:themeColor="text1"/>
          <w:sz w:val="32"/>
          <w:szCs w:val="32"/>
          <w:shd w:val="clear" w:color="auto" w:fill="FFFFFF"/>
          <w14:textFill>
            <w14:solidFill>
              <w14:schemeClr w14:val="tx1"/>
            </w14:solidFill>
          </w14:textFill>
        </w:rPr>
        <w:t>贵阳农村商业银行股份有限公司</w:t>
      </w: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r>
        <w:rPr>
          <w:rFonts w:hint="eastAsia" w:ascii="宋体" w:hAnsi="宋体"/>
          <w:b/>
          <w:color w:val="000000" w:themeColor="text1"/>
          <w:sz w:val="32"/>
          <w:szCs w:val="32"/>
          <w:shd w:val="clear" w:color="auto" w:fill="FFFFFF"/>
          <w14:textFill>
            <w14:solidFill>
              <w14:schemeClr w14:val="tx1"/>
            </w14:solidFill>
          </w14:textFill>
        </w:rPr>
        <w:t>产品托管人：</w:t>
      </w:r>
      <w:r>
        <w:rPr>
          <w:rFonts w:hint="eastAsia" w:ascii="宋体" w:hAnsi="宋体"/>
          <w:b/>
          <w:color w:val="000000" w:themeColor="text1"/>
          <w:sz w:val="32"/>
          <w:szCs w:val="32"/>
          <w:shd w:val="clear" w:color="auto" w:fill="FFFFFF"/>
          <w14:textFill>
            <w14:solidFill>
              <w14:schemeClr w14:val="tx1"/>
            </w14:solidFill>
          </w14:textFill>
        </w:rPr>
        <w:t>招商银行股份有限公司</w:t>
      </w: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hint="eastAsia"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color w:val="000000" w:themeColor="text1"/>
          <w14:textFill>
            <w14:solidFill>
              <w14:schemeClr w14:val="tx1"/>
            </w14:solidFill>
          </w14:textFill>
        </w:rPr>
      </w:pPr>
      <w:r>
        <w:rPr>
          <w:rFonts w:hint="eastAsia" w:asciiTheme="minorEastAsia" w:hAnsiTheme="minorEastAsia" w:eastAsiaTheme="minorEastAsia"/>
          <w:b/>
          <w:color w:val="000000" w:themeColor="text1"/>
          <w:sz w:val="24"/>
          <w:szCs w:val="24"/>
          <w:shd w:val="clear" w:color="auto" w:fill="FFFFFF"/>
          <w14:textFill>
            <w14:solidFill>
              <w14:schemeClr w14:val="tx1"/>
            </w14:solidFill>
          </w14:textFill>
        </w:rPr>
        <w:t>§1  重要提示</w:t>
      </w:r>
    </w:p>
    <w:p>
      <w:pPr>
        <w:spacing w:before="156" w:beforeLines="50" w:after="156" w:afterLines="50" w:line="600" w:lineRule="exact"/>
        <w:ind w:firstLine="420" w:firstLineChars="200"/>
        <w:rPr>
          <w:color w:val="000000" w:themeColor="text1"/>
          <w14:textFill>
            <w14:solidFill>
              <w14:schemeClr w14:val="tx1"/>
            </w14:solidFill>
          </w14:textFill>
        </w:rPr>
      </w:pPr>
      <w:r>
        <w:rPr>
          <w:color w:val="000000" w:themeColor="text1"/>
          <w14:textFill>
            <w14:solidFill>
              <w14:schemeClr w14:val="tx1"/>
            </w14:solidFill>
          </w14:textFill>
        </w:rPr>
        <w:t>产品管理人保证本报告所载资料不存在虚假记载、误导性陈述或重大遗漏</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并对其内容的真实性、准确性和完整性承担个别及连带责任。</w:t>
      </w:r>
    </w:p>
    <w:p>
      <w:pPr>
        <w:spacing w:before="156" w:beforeLines="50" w:after="156" w:afterLines="50" w:line="600" w:lineRule="exact"/>
        <w:ind w:firstLine="420" w:firstLineChars="200"/>
        <w:rPr>
          <w:rFonts w:ascii="宋体" w:hAnsi="宋体"/>
          <w:b/>
          <w:color w:val="000000" w:themeColor="text1"/>
          <w:sz w:val="32"/>
          <w:szCs w:val="32"/>
          <w:shd w:val="clear" w:color="auto" w:fill="FFFFFF"/>
          <w14:textFill>
            <w14:solidFill>
              <w14:schemeClr w14:val="tx1"/>
            </w14:solidFill>
          </w14:textFill>
        </w:rPr>
      </w:pPr>
      <w:r>
        <w:rPr>
          <w:color w:val="000000" w:themeColor="text1"/>
          <w14:textFill>
            <w14:solidFill>
              <w14:schemeClr w14:val="tx1"/>
            </w14:solidFill>
          </w14:textFill>
        </w:rPr>
        <w:t>产品托管人</w:t>
      </w:r>
      <w:r>
        <w:rPr>
          <w:rFonts w:hint="eastAsia"/>
          <w:color w:val="000000" w:themeColor="text1"/>
          <w14:textFill>
            <w14:solidFill>
              <w14:schemeClr w14:val="tx1"/>
            </w14:solidFill>
          </w14:textFill>
        </w:rPr>
        <w:t>招商</w:t>
      </w:r>
      <w:r>
        <w:rPr>
          <w:color w:val="000000" w:themeColor="text1"/>
          <w14:textFill>
            <w14:solidFill>
              <w14:schemeClr w14:val="tx1"/>
            </w14:solidFill>
          </w14:textFill>
        </w:rPr>
        <w:t>银行股份有限公司</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已复核了本报告中的财务指标、净值表现和投资组合报告等内容</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保证复核内容不存在虚假记载、误导性陈述或者重大遗漏</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本报告中财务资料未经审计</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本报告期自2022年01月01日</w:t>
      </w:r>
      <w:bookmarkStart w:id="3" w:name="OLE_LINK5"/>
      <w:bookmarkEnd w:id="3"/>
      <w:bookmarkStart w:id="4" w:name="OLE_LINK6"/>
      <w:bookmarkEnd w:id="4"/>
      <w:r>
        <w:rPr>
          <w:color w:val="000000" w:themeColor="text1"/>
          <w14:textFill>
            <w14:solidFill>
              <w14:schemeClr w14:val="tx1"/>
            </w14:solidFill>
          </w14:textFill>
        </w:rPr>
        <w:t>起至2022年06月30日止。</w:t>
      </w: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rPr>
          <w:rFonts w:ascii="宋体" w:hAnsi="宋体"/>
          <w:color w:val="000000" w:themeColor="text1"/>
          <w:sz w:val="24"/>
          <w:szCs w:val="24"/>
          <w14:textFill>
            <w14:solidFill>
              <w14:schemeClr w14:val="tx1"/>
            </w14:solidFill>
          </w14:textFill>
        </w:rPr>
      </w:pPr>
    </w:p>
    <w:p>
      <w:pPr>
        <w:spacing w:before="156" w:beforeLines="50" w:after="156" w:afterLines="50" w:line="360" w:lineRule="auto"/>
        <w:jc w:val="center"/>
        <w:rPr>
          <w:rFonts w:asciiTheme="minorEastAsia" w:hAnsiTheme="minorEastAsia" w:eastAsiaTheme="minorEastAsia"/>
          <w:b/>
          <w:color w:val="000000" w:themeColor="text1"/>
          <w:sz w:val="24"/>
          <w:szCs w:val="24"/>
          <w:shd w:val="clear" w:color="auto" w:fill="FFFFFF"/>
          <w14:textFill>
            <w14:solidFill>
              <w14:schemeClr w14:val="tx1"/>
            </w14:solidFill>
          </w14:textFill>
        </w:rPr>
      </w:pPr>
      <w:bookmarkStart w:id="5" w:name="_Toc528772556"/>
      <w:bookmarkStart w:id="6" w:name="_Toc194311890"/>
      <w:r>
        <w:rPr>
          <w:rFonts w:hint="eastAsia" w:asciiTheme="minorEastAsia" w:hAnsiTheme="minorEastAsia" w:eastAsiaTheme="minorEastAsia"/>
          <w:b/>
          <w:color w:val="000000" w:themeColor="text1"/>
          <w:sz w:val="24"/>
          <w:szCs w:val="24"/>
          <w:shd w:val="clear" w:color="auto" w:fill="FFFFFF"/>
          <w14:textFill>
            <w14:solidFill>
              <w14:schemeClr w14:val="tx1"/>
            </w14:solidFill>
          </w14:textFill>
        </w:rPr>
        <w:t>§2</w:t>
      </w:r>
      <w:bookmarkEnd w:id="5"/>
      <w:bookmarkEnd w:id="6"/>
      <w:r>
        <w:rPr>
          <w:rFonts w:hint="eastAsia" w:asciiTheme="minorEastAsia" w:hAnsiTheme="minorEastAsia" w:eastAsiaTheme="minorEastAsia"/>
          <w:b/>
          <w:color w:val="000000" w:themeColor="text1"/>
          <w:sz w:val="24"/>
          <w:szCs w:val="24"/>
          <w:shd w:val="clear" w:color="auto" w:fill="FFFFFF"/>
          <w14:textFill>
            <w14:solidFill>
              <w14:schemeClr w14:val="tx1"/>
            </w14:solidFill>
          </w14:textFill>
        </w:rPr>
        <w:t>产品概况</w:t>
      </w:r>
    </w:p>
    <w:p>
      <w:pPr>
        <w:spacing w:before="156" w:beforeLines="50" w:after="156" w:afterLines="50" w:line="360" w:lineRule="auto"/>
        <w:jc w:val="center"/>
        <w:rPr>
          <w:rFonts w:asciiTheme="minorEastAsia" w:hAnsiTheme="minorEastAsia" w:eastAsiaTheme="minorEastAsia"/>
          <w:b/>
          <w:color w:val="000000" w:themeColor="text1"/>
          <w:sz w:val="24"/>
          <w:szCs w:val="24"/>
          <w:shd w:val="clear" w:color="auto" w:fill="FFFFFF"/>
          <w14:textFill>
            <w14:solidFill>
              <w14:schemeClr w14:val="tx1"/>
            </w14:solidFill>
          </w14:textFill>
        </w:rPr>
      </w:pPr>
    </w:p>
    <w:tbl>
      <w:tblPr>
        <w:tblStyle w:val="11"/>
        <w:tblpPr w:leftFromText="180" w:rightFromText="180" w:vertAnchor="text" w:horzAnchor="margin" w:tblpY="8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07"/>
        <w:gridCol w:w="55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产品名称</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kern w:val="0"/>
                <w:szCs w:val="21"/>
                <w:shd w:val="clear" w:color="auto" w:fill="FFFFFF"/>
                <w14:textFill>
                  <w14:solidFill>
                    <w14:schemeClr w14:val="tx1"/>
                  </w14:solidFill>
                </w14:textFill>
              </w:rPr>
            </w:pPr>
            <w:r>
              <w:rPr>
                <w:rFonts w:ascii="宋体" w:hAnsi="宋体"/>
                <w:color w:val="000000" w:themeColor="text1"/>
                <w:kern w:val="0"/>
                <w:szCs w:val="21"/>
                <w:shd w:val="clear" w:color="auto" w:fill="FFFFFF"/>
                <w14:textFill>
                  <w14:solidFill>
                    <w14:schemeClr w14:val="tx1"/>
                  </w14:solidFill>
                </w14:textFill>
              </w:rPr>
              <w:t>超值宝1年108期理财产品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产品登记编码</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kern w:val="0"/>
                <w:szCs w:val="21"/>
                <w:shd w:val="clear" w:color="auto" w:fill="FFFFFF"/>
                <w14:textFill>
                  <w14:solidFill>
                    <w14:schemeClr w14:val="tx1"/>
                  </w14:solidFill>
                </w14:textFill>
              </w:rPr>
            </w:pPr>
            <w:r>
              <w:rPr>
                <w:rFonts w:hint="eastAsia" w:ascii="宋体" w:hAnsi="宋体"/>
                <w:color w:val="000000" w:themeColor="text1"/>
                <w:kern w:val="0"/>
                <w:szCs w:val="21"/>
                <w:shd w:val="clear" w:color="auto" w:fill="FFFFFF"/>
                <w14:textFill>
                  <w14:solidFill>
                    <w14:schemeClr w14:val="tx1"/>
                  </w14:solidFill>
                </w14:textFill>
              </w:rPr>
              <w:t>C</w:t>
            </w:r>
            <w:r>
              <w:rPr>
                <w:rFonts w:ascii="宋体" w:hAnsi="宋体"/>
                <w:color w:val="000000" w:themeColor="text1"/>
                <w:kern w:val="0"/>
                <w:szCs w:val="21"/>
                <w:shd w:val="clear" w:color="auto" w:fill="FFFFFF"/>
                <w14:textFill>
                  <w14:solidFill>
                    <w14:schemeClr w14:val="tx1"/>
                  </w14:solidFill>
                </w14:textFill>
              </w:rPr>
              <w:t>1188321000116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报告期末产品份额总额</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themeColor="text1"/>
                <w:sz w:val="22"/>
                <w:szCs w:val="22"/>
                <w14:textFill>
                  <w14:solidFill>
                    <w14:schemeClr w14:val="tx1"/>
                  </w14:solidFill>
                </w14:textFill>
              </w:rPr>
            </w:pPr>
            <w:r>
              <w:rPr>
                <w:rFonts w:ascii="宋体" w:hAnsi="宋体"/>
                <w:color w:val="000000" w:themeColor="text1"/>
                <w:kern w:val="0"/>
                <w:szCs w:val="21"/>
                <w:shd w:val="clear" w:color="auto" w:fill="FFFFFF"/>
                <w14:textFill>
                  <w14:solidFill>
                    <w14:schemeClr w14:val="tx1"/>
                  </w14:solidFill>
                </w14:textFill>
              </w:rPr>
              <w:t>103,460,000.00份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报告期末产品存续规模</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themeColor="text1"/>
                <w:sz w:val="22"/>
                <w:szCs w:val="22"/>
                <w14:textFill>
                  <w14:solidFill>
                    <w14:schemeClr w14:val="tx1"/>
                  </w14:solidFill>
                </w14:textFill>
              </w:rPr>
            </w:pPr>
            <w:r>
              <w:rPr>
                <w:rFonts w:ascii="宋体" w:hAnsi="宋体"/>
                <w:color w:val="000000" w:themeColor="text1"/>
                <w:szCs w:val="21"/>
                <w:shd w:val="clear" w:color="auto" w:fill="FFFFFF"/>
                <w14:textFill>
                  <w14:solidFill>
                    <w14:schemeClr w14:val="tx1"/>
                  </w14:solidFill>
                </w14:textFill>
              </w:rPr>
              <w:t>106,397,148.43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投资类型</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kern w:val="0"/>
                <w:szCs w:val="21"/>
                <w:shd w:val="clear" w:color="auto" w:fill="FFFFFF"/>
                <w14:textFill>
                  <w14:solidFill>
                    <w14:schemeClr w14:val="tx1"/>
                  </w14:solidFill>
                </w14:textFill>
              </w:rPr>
            </w:pPr>
            <w:r>
              <w:rPr>
                <w:rFonts w:hint="eastAsia" w:ascii="宋体" w:hAnsi="宋体"/>
                <w:color w:val="000000" w:themeColor="text1"/>
                <w:kern w:val="0"/>
                <w:szCs w:val="21"/>
                <w:shd w:val="clear" w:color="auto" w:fill="FFFFFF"/>
                <w14:textFill>
                  <w14:solidFill>
                    <w14:schemeClr w14:val="tx1"/>
                  </w14:solidFill>
                </w14:textFill>
              </w:rPr>
              <w:t>固定收益类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投资标的</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kern w:val="0"/>
                <w:szCs w:val="21"/>
                <w:shd w:val="clear" w:color="auto" w:fill="FFFFFF"/>
                <w14:textFill>
                  <w14:solidFill>
                    <w14:schemeClr w14:val="tx1"/>
                  </w14:solidFill>
                </w14:textFill>
              </w:rPr>
            </w:pPr>
            <w:r>
              <w:rPr>
                <w:rFonts w:hint="eastAsia" w:ascii="宋体" w:hAnsi="宋体"/>
                <w:color w:val="000000" w:themeColor="text1"/>
                <w:kern w:val="0"/>
                <w:szCs w:val="21"/>
                <w:shd w:val="clear" w:color="auto" w:fill="FFFFFF"/>
                <w14:textFill>
                  <w14:solidFill>
                    <w14:schemeClr w14:val="tx1"/>
                  </w14:solidFill>
                </w14:textFill>
              </w:rPr>
              <w:t>本期产品理财资金投资于符合监管要求的投资工具，包括：现金类资产、货币类资产、标准化固定收益类资产、符合前述投向的信托计划及资产管理计划；投资于现金类资产、货币类资产、标准化固定收益类资产及符合前述投向的信托计划、资产管理计划的比例为80%-100%；其他符合监管要求的资产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投资策略</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kern w:val="0"/>
                <w:szCs w:val="21"/>
                <w:shd w:val="clear" w:color="auto" w:fill="FFFFFF"/>
                <w14:textFill>
                  <w14:solidFill>
                    <w14:schemeClr w14:val="tx1"/>
                  </w14:solidFill>
                </w14:textFill>
              </w:rPr>
              <w:t>管理人在充分研究宏观市场形势以及微观市场主体的基础上，采取积极主动的投资管理策略，通过定性与定量分析，对利率变化趋势、收益率曲线移动方向、信用利差等影响固定收益投资品价格的因素进行评估，对不同投资品种运用不同的投资策略。在信用风险可控的前提下，寻求组合流动性与收益的最佳配比，力求持续取得稳健或超过业绩比较基准的收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产品</w:t>
            </w:r>
            <w:r>
              <w:rPr>
                <w:rFonts w:ascii="宋体" w:hAnsi="宋体"/>
                <w:color w:val="000000" w:themeColor="text1"/>
                <w:szCs w:val="21"/>
                <w:shd w:val="clear" w:color="auto" w:fill="FFFFFF"/>
                <w14:textFill>
                  <w14:solidFill>
                    <w14:schemeClr w14:val="tx1"/>
                  </w14:solidFill>
                </w14:textFill>
              </w:rPr>
              <w:t>费率</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本产品收取固定销售费</w:t>
            </w:r>
            <w:r>
              <w:rPr>
                <w:rFonts w:ascii="宋体" w:hAnsi="宋体"/>
                <w:color w:val="000000" w:themeColor="text1"/>
                <w:szCs w:val="21"/>
                <w:shd w:val="clear" w:color="auto" w:fill="FFFFFF"/>
                <w14:textFill>
                  <w14:solidFill>
                    <w14:schemeClr w14:val="tx1"/>
                  </w14:solidFill>
                </w14:textFill>
              </w:rPr>
              <w:t>0.30000</w:t>
            </w:r>
            <w:r>
              <w:rPr>
                <w:rFonts w:hint="eastAsia" w:ascii="宋体" w:hAnsi="宋体"/>
                <w:color w:val="000000" w:themeColor="text1"/>
                <w:szCs w:val="21"/>
                <w:shd w:val="clear" w:color="auto" w:fill="FFFFFF"/>
                <w14:textFill>
                  <w14:solidFill>
                    <w14:schemeClr w14:val="tx1"/>
                  </w14:solidFill>
                </w14:textFill>
              </w:rPr>
              <w:t>%/年</w:t>
            </w:r>
            <w:r>
              <w:rPr>
                <w:rFonts w:hint="eastAsia" w:ascii="宋体" w:hAnsi="宋体"/>
                <w:color w:val="000000" w:themeColor="text1"/>
                <w:szCs w:val="21"/>
                <w:shd w:val="clear" w:color="auto" w:fill="FFFFFF"/>
                <w14:textFill>
                  <w14:solidFill>
                    <w14:schemeClr w14:val="tx1"/>
                  </w14:solidFill>
                </w14:textFill>
              </w:rPr>
              <w:t>，固定管理费</w:t>
            </w:r>
            <w:r>
              <w:rPr>
                <w:rFonts w:ascii="宋体" w:hAnsi="宋体"/>
                <w:color w:val="000000" w:themeColor="text1"/>
                <w:szCs w:val="21"/>
                <w:shd w:val="clear" w:color="auto" w:fill="FFFFFF"/>
                <w14:textFill>
                  <w14:solidFill>
                    <w14:schemeClr w14:val="tx1"/>
                  </w14:solidFill>
                </w14:textFill>
              </w:rPr>
              <w:t>0.30000</w:t>
            </w:r>
            <w:r>
              <w:rPr>
                <w:rFonts w:hint="eastAsia" w:ascii="宋体" w:hAnsi="宋体"/>
                <w:color w:val="000000" w:themeColor="text1"/>
                <w:szCs w:val="21"/>
                <w:shd w:val="clear" w:color="auto" w:fill="FFFFFF"/>
                <w14:textFill>
                  <w14:solidFill>
                    <w14:schemeClr w14:val="tx1"/>
                  </w14:solidFill>
                </w14:textFill>
              </w:rPr>
              <w:t>%/年</w:t>
            </w:r>
            <w:r>
              <w:rPr>
                <w:rFonts w:hint="eastAsia" w:ascii="宋体" w:hAnsi="宋体"/>
                <w:color w:val="000000" w:themeColor="text1"/>
                <w:szCs w:val="21"/>
                <w:shd w:val="clear" w:color="auto" w:fill="FFFFFF"/>
                <w14:textFill>
                  <w14:solidFill>
                    <w14:schemeClr w14:val="tx1"/>
                  </w14:solidFill>
                </w14:textFill>
              </w:rPr>
              <w:t>、固定托管费</w:t>
            </w:r>
            <w:r>
              <w:rPr>
                <w:rFonts w:ascii="宋体" w:hAnsi="宋体"/>
                <w:color w:val="000000" w:themeColor="text1"/>
                <w:szCs w:val="21"/>
                <w:shd w:val="clear" w:color="auto" w:fill="FFFFFF"/>
                <w14:textFill>
                  <w14:solidFill>
                    <w14:schemeClr w14:val="tx1"/>
                  </w14:solidFill>
                </w14:textFill>
              </w:rPr>
              <w:t>0.02000</w:t>
            </w:r>
            <w:r>
              <w:rPr>
                <w:rFonts w:hint="eastAsia" w:ascii="宋体" w:hAnsi="宋体"/>
                <w:color w:val="000000" w:themeColor="text1"/>
                <w:szCs w:val="21"/>
                <w:shd w:val="clear" w:color="auto" w:fill="FFFFFF"/>
                <w14:textFill>
                  <w14:solidFill>
                    <w14:schemeClr w14:val="tx1"/>
                  </w14:solidFill>
                </w14:textFill>
              </w:rPr>
              <w:t>%/年</w:t>
            </w:r>
            <w:r>
              <w:rPr>
                <w:rFonts w:hint="eastAsia" w:ascii="宋体" w:hAnsi="宋体"/>
                <w:color w:val="000000" w:themeColor="text1"/>
                <w:szCs w:val="21"/>
                <w:shd w:val="clear" w:color="auto" w:fill="FFFFFF"/>
                <w14:textFill>
                  <w14:solidFill>
                    <w14:schemeClr w14:val="tx1"/>
                  </w14:solidFill>
                </w14:textFill>
              </w:rPr>
              <w:t>和超额业绩报酬（如有），上述费用在计算产品单位净值前扣除。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成立日</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p>
          <w:p>
            <w:pPr>
              <w:rPr>
                <w:rFonts w:ascii="宋体" w:hAnsi="宋体"/>
                <w:color w:val="000000" w:themeColor="text1"/>
                <w:szCs w:val="21"/>
                <w:shd w:val="clear" w:color="auto" w:fill="FFFFFF"/>
                <w14:textFill>
                  <w14:solidFill>
                    <w14:schemeClr w14:val="tx1"/>
                  </w14:solidFill>
                </w14:textFill>
              </w:rPr>
            </w:pPr>
            <w:r>
              <w:rPr>
                <w:rFonts w:ascii="宋体" w:hAnsi="宋体"/>
                <w:color w:val="000000" w:themeColor="text1"/>
                <w:szCs w:val="21"/>
                <w:shd w:val="clear" w:color="auto" w:fill="FFFFFF"/>
                <w14:textFill>
                  <w14:solidFill>
                    <w14:schemeClr w14:val="tx1"/>
                  </w14:solidFill>
                </w14:textFill>
              </w:rPr>
              <w:t>2021年11月23日</w:t>
            </w:r>
          </w:p>
          <w:p>
            <w:pPr>
              <w:rPr>
                <w:rFonts w:ascii="宋体" w:hAnsi="宋体"/>
                <w:color w:val="000000" w:themeColor="text1"/>
                <w:szCs w:val="21"/>
                <w:shd w:val="clear" w:color="auto" w:fill="FFFFFF"/>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终止日</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ascii="宋体" w:hAnsi="宋体"/>
                <w:color w:val="000000" w:themeColor="text1"/>
                <w:szCs w:val="21"/>
                <w:shd w:val="clear" w:color="auto" w:fill="FFFFFF"/>
                <w14:textFill>
                  <w14:solidFill>
                    <w14:schemeClr w14:val="tx1"/>
                  </w14:solidFill>
                </w14:textFill>
              </w:rPr>
              <w:t>2022年11月23日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估值方法</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1.现金、银行存款以本金列示，逐日计提银行存款利息，按约定利率确认存款利息收入；2.对于未在交易所上市的货币市场基金，按基金管理公司披露的估值日前一交易日的每万份收益计提收益；3.标准化固定收益类资产：交易所及银行间公开发行的债券按市场价格估值，按中央国债登记结算有限责任公司或中国证券登记结算有限公司公布的在估值日的估值净价进行估值；交易所上市的资产支持证券、中小企业私募债券等非公开发行债券，由于不存在活跃交易、且估值技术难以可靠计量公允价值，按成本估值；4.投资资产管理产品、非标债权或其他特殊目的载体等的估值：（1）资产管理产品、非标债权或其他特殊目的载体等披露份额净值的，按最近一日的份额净值估值。（2）资产管理产品、非标债权或其他特殊目的载体等披露收益率的，按成本估值，按收益率计提收益；5.其它符合监管要求的资产，存在可以确定公允价值的，以公允价值估值；公允价值不能确定的，按取得时成本按摊余成本法估值；6.国家有最新规定的，按其规定进行估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杠杆水平</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ascii="宋体" w:hAnsi="宋体"/>
                <w:color w:val="000000" w:themeColor="text1"/>
                <w:szCs w:val="21"/>
                <w:shd w:val="clear" w:color="auto" w:fill="FFFFFF"/>
                <w14:textFill>
                  <w14:solidFill>
                    <w14:schemeClr w14:val="tx1"/>
                  </w14:solidFill>
                </w14:textFill>
              </w:rPr>
              <w:t>100.37%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业绩比较基准</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[4.7%-5.2%]/年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风险等级</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二级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产品管理人</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ascii="宋体" w:hAnsi="宋体"/>
                <w:color w:val="000000" w:themeColor="text1"/>
                <w:szCs w:val="21"/>
                <w:shd w:val="clear" w:color="auto" w:fill="FFFFFF"/>
                <w14:textFill>
                  <w14:solidFill>
                    <w14:schemeClr w14:val="tx1"/>
                  </w14:solidFill>
                </w14:textFill>
              </w:rPr>
              <w:t>贵阳农村商业银行股份有限公司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产品托管人</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招商银行股份有限公司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投资账户信息</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kern w:val="0"/>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户名：</w:t>
            </w:r>
            <w:r>
              <w:rPr>
                <w:rFonts w:ascii="宋体" w:hAnsi="宋体"/>
                <w:color w:val="000000" w:themeColor="text1"/>
                <w:szCs w:val="21"/>
                <w:shd w:val="clear" w:color="auto" w:fill="FFFFFF"/>
                <w14:textFill>
                  <w14:solidFill>
                    <w14:schemeClr w14:val="tx1"/>
                  </w14:solidFill>
                </w14:textFill>
              </w:rPr>
              <w:t>贵阳农村商业银行股份有限公司</w:t>
            </w:r>
            <w:r>
              <w:rPr>
                <w:rFonts w:hint="eastAsia" w:ascii="宋体" w:hAnsi="宋体"/>
                <w:color w:val="000000" w:themeColor="text1"/>
                <w:szCs w:val="21"/>
                <w:shd w:val="clear" w:color="auto" w:fill="FFFFFF"/>
                <w14:textFill>
                  <w14:solidFill>
                    <w14:schemeClr w14:val="tx1"/>
                  </w14:solidFill>
                </w14:textFill>
              </w:rPr>
              <w:t>-</w:t>
            </w:r>
            <w:r>
              <w:rPr>
                <w:rFonts w:ascii="宋体" w:hAnsi="宋体"/>
                <w:color w:val="000000" w:themeColor="text1"/>
                <w:szCs w:val="21"/>
                <w:shd w:val="clear" w:color="auto" w:fill="FFFFFF"/>
                <w14:textFill>
                  <w14:solidFill>
                    <w14:schemeClr w14:val="tx1"/>
                  </w14:solidFill>
                </w14:textFill>
              </w:rPr>
              <w:t>超值宝</w:t>
            </w:r>
            <w:r>
              <w:rPr>
                <w:rFonts w:hint="eastAsia" w:ascii="宋体" w:hAnsi="宋体"/>
                <w:color w:val="000000" w:themeColor="text1"/>
                <w:szCs w:val="21"/>
                <w:shd w:val="clear" w:color="auto" w:fill="FFFFFF"/>
                <w14:textFill>
                  <w14:solidFill>
                    <w14:schemeClr w14:val="tx1"/>
                  </w14:solidFill>
                </w14:textFill>
              </w:rPr>
              <w:t>1年1</w:t>
            </w:r>
            <w:r>
              <w:rPr>
                <w:rFonts w:ascii="宋体" w:hAnsi="宋体"/>
                <w:color w:val="000000" w:themeColor="text1"/>
                <w:szCs w:val="21"/>
                <w:shd w:val="clear" w:color="auto" w:fill="FFFFFF"/>
                <w14:textFill>
                  <w14:solidFill>
                    <w14:schemeClr w14:val="tx1"/>
                  </w14:solidFill>
                </w14:textFill>
              </w:rPr>
              <w:t>08期</w:t>
            </w:r>
            <w:r>
              <w:rPr>
                <w:rFonts w:ascii="宋体" w:hAnsi="宋体"/>
                <w:color w:val="000000" w:themeColor="text1"/>
                <w:kern w:val="0"/>
                <w:szCs w:val="21"/>
                <w:shd w:val="clear" w:color="auto" w:fill="FFFFFF"/>
                <w14:textFill>
                  <w14:solidFill>
                    <w14:schemeClr w14:val="tx1"/>
                  </w14:solidFill>
                </w14:textFill>
              </w:rPr>
              <w:t xml:space="preserve"> </w:t>
            </w:r>
          </w:p>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账号：8</w:t>
            </w:r>
            <w:r>
              <w:rPr>
                <w:rFonts w:ascii="宋体" w:hAnsi="宋体"/>
                <w:color w:val="000000" w:themeColor="text1"/>
                <w:szCs w:val="21"/>
                <w:shd w:val="clear" w:color="auto" w:fill="FFFFFF"/>
                <w14:textFill>
                  <w14:solidFill>
                    <w14:schemeClr w14:val="tx1"/>
                  </w14:solidFill>
                </w14:textFill>
              </w:rPr>
              <w:t>51900159610246</w:t>
            </w:r>
          </w:p>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开户行：招商银行股份有限公司</w:t>
            </w:r>
            <w:r>
              <w:rPr>
                <w:rFonts w:ascii="宋体" w:hAnsi="宋体"/>
                <w:color w:val="000000" w:themeColor="text1"/>
                <w:szCs w:val="21"/>
                <w:shd w:val="clear" w:color="auto" w:fill="FFFFFF"/>
                <w14:textFill>
                  <w14:solidFill>
                    <w14:schemeClr w14:val="tx1"/>
                  </w14:solidFill>
                </w14:textFill>
              </w:rPr>
              <w:t>贵阳分行</w:t>
            </w:r>
          </w:p>
        </w:tc>
      </w:tr>
    </w:tbl>
    <w:p>
      <w:pPr>
        <w:widowControl/>
        <w:jc w:val="left"/>
        <w:rPr>
          <w:rFonts w:asciiTheme="minorEastAsia" w:hAnsiTheme="minorEastAsia" w:eastAsiaTheme="minorEastAsia"/>
          <w:b/>
          <w:color w:val="000000" w:themeColor="text1"/>
          <w:sz w:val="24"/>
          <w:szCs w:val="24"/>
          <w14:textFill>
            <w14:solidFill>
              <w14:schemeClr w14:val="tx1"/>
            </w14:solidFill>
          </w14:textFill>
        </w:rPr>
      </w:pPr>
    </w:p>
    <w:p>
      <w:pPr>
        <w:spacing w:before="156" w:beforeLines="50" w:after="156" w:afterLines="50" w:line="360" w:lineRule="auto"/>
        <w:jc w:val="center"/>
        <w:rPr>
          <w:rFonts w:asciiTheme="minorEastAsia" w:hAnsiTheme="minorEastAsia" w:eastAsiaTheme="minorEastAsia"/>
          <w:b/>
          <w:color w:val="000000" w:themeColor="text1"/>
          <w:sz w:val="24"/>
          <w:szCs w:val="24"/>
          <w14:textFill>
            <w14:solidFill>
              <w14:schemeClr w14:val="tx1"/>
            </w14:solidFill>
          </w14:textFill>
        </w:rPr>
      </w:pPr>
      <w:r>
        <w:rPr>
          <w:rFonts w:hint="eastAsia" w:asciiTheme="minorEastAsia" w:hAnsiTheme="minorEastAsia" w:eastAsiaTheme="minorEastAsia"/>
          <w:b/>
          <w:color w:val="000000" w:themeColor="text1"/>
          <w:sz w:val="24"/>
          <w:szCs w:val="24"/>
          <w14:textFill>
            <w14:solidFill>
              <w14:schemeClr w14:val="tx1"/>
            </w14:solidFill>
          </w14:textFill>
        </w:rPr>
        <w:t>§</w:t>
      </w:r>
      <w:r>
        <w:rPr>
          <w:rFonts w:asciiTheme="minorEastAsia" w:hAnsiTheme="minorEastAsia" w:eastAsiaTheme="minorEastAsia"/>
          <w:b/>
          <w:color w:val="000000" w:themeColor="text1"/>
          <w:sz w:val="24"/>
          <w:szCs w:val="24"/>
          <w14:textFill>
            <w14:solidFill>
              <w14:schemeClr w14:val="tx1"/>
            </w14:solidFill>
          </w14:textFill>
        </w:rPr>
        <w:t>3</w:t>
      </w:r>
      <w:r>
        <w:rPr>
          <w:rFonts w:hint="eastAsia" w:asciiTheme="minorEastAsia" w:hAnsiTheme="minorEastAsia" w:eastAsiaTheme="minorEastAsia"/>
          <w:b/>
          <w:color w:val="000000" w:themeColor="text1"/>
          <w:sz w:val="24"/>
          <w:szCs w:val="24"/>
          <w14:textFill>
            <w14:solidFill>
              <w14:schemeClr w14:val="tx1"/>
            </w14:solidFill>
          </w14:textFill>
        </w:rPr>
        <w:t xml:space="preserve">  主要财务指标和净值表现</w:t>
      </w:r>
    </w:p>
    <w:p>
      <w:pPr>
        <w:spacing w:before="156" w:beforeLines="50" w:line="360" w:lineRule="exact"/>
        <w:rPr>
          <w:b/>
          <w:color w:val="000000" w:themeColor="text1"/>
          <w14:textFill>
            <w14:solidFill>
              <w14:schemeClr w14:val="tx1"/>
            </w14:solidFill>
          </w14:textFill>
        </w:rPr>
      </w:pPr>
      <w:r>
        <w:rPr>
          <w:b/>
          <w:color w:val="000000" w:themeColor="text1"/>
          <w14:textFill>
            <w14:solidFill>
              <w14:schemeClr w14:val="tx1"/>
            </w14:solidFill>
          </w14:textFill>
        </w:rPr>
        <w:t xml:space="preserve">3.1 </w:t>
      </w:r>
      <w:r>
        <w:rPr>
          <w:rFonts w:hint="eastAsia"/>
          <w:b/>
          <w:color w:val="000000" w:themeColor="text1"/>
          <w14:textFill>
            <w14:solidFill>
              <w14:schemeClr w14:val="tx1"/>
            </w14:solidFill>
          </w14:textFill>
        </w:rPr>
        <w:t>主要财务指标</w:t>
      </w:r>
    </w:p>
    <w:p>
      <w:pPr>
        <w:spacing w:before="156" w:beforeLines="50" w:line="360" w:lineRule="exact"/>
        <w:jc w:val="right"/>
        <w:rPr>
          <w:color w:val="000000" w:themeColor="text1"/>
          <w14:textFill>
            <w14:solidFill>
              <w14:schemeClr w14:val="tx1"/>
            </w14:solidFill>
          </w14:textFill>
        </w:rPr>
      </w:pPr>
      <w:r>
        <w:rPr>
          <w:rFonts w:hint="eastAsia"/>
          <w:color w:val="000000" w:themeColor="text1"/>
          <w14:textFill>
            <w14:solidFill>
              <w14:schemeClr w14:val="tx1"/>
            </w14:solidFill>
          </w14:textFill>
        </w:rPr>
        <w:t>单位：人民币元</w:t>
      </w:r>
    </w:p>
    <w:tbl>
      <w:tblPr>
        <w:tblStyle w:val="12"/>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2660"/>
        <w:gridCol w:w="5862"/>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65" w:hRule="atLeast"/>
        </w:trPr>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主要财务指标</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报告期（</w:t>
            </w:r>
            <w:r>
              <w:rPr>
                <w:rFonts w:ascii="宋体" w:hAnsi="宋体"/>
                <w:color w:val="000000" w:themeColor="text1"/>
                <w:szCs w:val="21"/>
                <w:shd w:val="clear" w:color="auto" w:fill="FFFFFF"/>
                <w14:textFill>
                  <w14:solidFill>
                    <w14:schemeClr w14:val="tx1"/>
                  </w14:solidFill>
                </w14:textFill>
              </w:rPr>
              <w:t>2022年01月01日</w:t>
            </w:r>
            <w:r>
              <w:rPr>
                <w:rFonts w:hint="eastAsia" w:ascii="宋体" w:hAnsi="宋体"/>
                <w:color w:val="000000" w:themeColor="text1"/>
                <w:szCs w:val="21"/>
                <w:shd w:val="clear" w:color="auto" w:fill="FFFFFF"/>
                <w14:textFill>
                  <w14:solidFill>
                    <w14:schemeClr w14:val="tx1"/>
                  </w14:solidFill>
                </w14:textFill>
              </w:rPr>
              <w:t>-</w:t>
            </w:r>
            <w:r>
              <w:rPr>
                <w:rFonts w:ascii="宋体" w:hAnsi="宋体"/>
                <w:color w:val="000000" w:themeColor="text1"/>
                <w:szCs w:val="21"/>
                <w:shd w:val="clear" w:color="auto" w:fill="FFFFFF"/>
                <w14:textFill>
                  <w14:solidFill>
                    <w14:schemeClr w14:val="tx1"/>
                  </w14:solidFill>
                </w14:textFill>
              </w:rPr>
              <w:t>2022年06月30日</w:t>
            </w:r>
            <w:r>
              <w:rPr>
                <w:rFonts w:hint="eastAsia" w:ascii="宋体" w:hAnsi="宋体"/>
                <w:color w:val="000000" w:themeColor="text1"/>
                <w:szCs w:val="21"/>
                <w:shd w:val="clear" w:color="auto" w:fill="FFFFFF"/>
                <w14:textFill>
                  <w14:solidFill>
                    <w14:schemeClr w14:val="tx1"/>
                  </w14:solidFill>
                </w14:textFill>
              </w:rPr>
              <w: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1.</w:t>
            </w:r>
            <w:r>
              <w:rPr>
                <w:rFonts w:hint="eastAsia" w:ascii="宋体" w:hAnsi="宋体"/>
                <w:color w:val="000000" w:themeColor="text1"/>
                <w:szCs w:val="21"/>
                <w14:textFill>
                  <w14:solidFill>
                    <w14:schemeClr w14:val="tx1"/>
                  </w14:solidFill>
                </w14:textFill>
              </w:rPr>
              <w:t>本期已实现收益</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000000" w:themeColor="text1"/>
                <w:szCs w:val="21"/>
                <w:shd w:val="clear" w:color="auto" w:fill="FFFFFF"/>
                <w14:textFill>
                  <w14:solidFill>
                    <w14:schemeClr w14:val="tx1"/>
                  </w14:solidFill>
                </w14:textFill>
              </w:rPr>
            </w:pPr>
            <w:r>
              <w:rPr>
                <w:rFonts w:ascii="宋体" w:hAnsi="宋体"/>
                <w:color w:val="000000" w:themeColor="text1"/>
                <w:szCs w:val="21"/>
                <w:shd w:val="clear" w:color="auto" w:fill="FFFFFF"/>
                <w14:textFill>
                  <w14:solidFill>
                    <w14:schemeClr w14:val="tx1"/>
                  </w14:solidFill>
                </w14:textFill>
              </w:rPr>
              <w:t>-324,426.75</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2.本期利润</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000000" w:themeColor="text1"/>
                <w:szCs w:val="21"/>
                <w:shd w:val="clear" w:color="auto" w:fill="FFFFFF"/>
                <w14:textFill>
                  <w14:solidFill>
                    <w14:schemeClr w14:val="tx1"/>
                  </w14:solidFill>
                </w14:textFill>
              </w:rPr>
            </w:pPr>
            <w:r>
              <w:rPr>
                <w:rFonts w:ascii="宋体" w:hAnsi="宋体"/>
                <w:color w:val="000000" w:themeColor="text1"/>
                <w:szCs w:val="21"/>
                <w:shd w:val="clear" w:color="auto" w:fill="FFFFFF"/>
                <w14:textFill>
                  <w14:solidFill>
                    <w14:schemeClr w14:val="tx1"/>
                  </w14:solidFill>
                </w14:textFill>
              </w:rPr>
              <w:t>2,419,985.15</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3.期末产品资产净值</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000000" w:themeColor="text1"/>
                <w:szCs w:val="21"/>
                <w:shd w:val="clear" w:color="auto" w:fill="FFFFFF"/>
                <w14:textFill>
                  <w14:solidFill>
                    <w14:schemeClr w14:val="tx1"/>
                  </w14:solidFill>
                </w14:textFill>
              </w:rPr>
            </w:pPr>
            <w:r>
              <w:rPr>
                <w:rFonts w:ascii="宋体" w:hAnsi="宋体"/>
                <w:color w:val="000000" w:themeColor="text1"/>
                <w:szCs w:val="21"/>
                <w:shd w:val="clear" w:color="auto" w:fill="FFFFFF"/>
                <w14:textFill>
                  <w14:solidFill>
                    <w14:schemeClr w14:val="tx1"/>
                  </w14:solidFill>
                </w14:textFill>
              </w:rPr>
              <w:t>106,397,148.43</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4.期末产品份额净值</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000000" w:themeColor="text1"/>
                <w:szCs w:val="21"/>
                <w:shd w:val="clear" w:color="auto" w:fill="FFFFFF"/>
                <w14:textFill>
                  <w14:solidFill>
                    <w14:schemeClr w14:val="tx1"/>
                  </w14:solidFill>
                </w14:textFill>
              </w:rPr>
            </w:pPr>
            <w:r>
              <w:rPr>
                <w:rFonts w:ascii="宋体" w:hAnsi="宋体"/>
                <w:color w:val="000000" w:themeColor="text1"/>
                <w:szCs w:val="21"/>
                <w:shd w:val="clear" w:color="auto" w:fill="FFFFFF"/>
                <w14:textFill>
                  <w14:solidFill>
                    <w14:schemeClr w14:val="tx1"/>
                  </w14:solidFill>
                </w14:textFill>
              </w:rPr>
              <w:t>1.0284</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5.期末产品份额累计净值</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000000" w:themeColor="text1"/>
                <w:szCs w:val="21"/>
                <w:shd w:val="clear" w:color="auto" w:fill="FFFFFF"/>
                <w14:textFill>
                  <w14:solidFill>
                    <w14:schemeClr w14:val="tx1"/>
                  </w14:solidFill>
                </w14:textFill>
              </w:rPr>
            </w:pPr>
            <w:r>
              <w:rPr>
                <w:rFonts w:ascii="宋体" w:hAnsi="宋体"/>
                <w:color w:val="000000" w:themeColor="text1"/>
                <w:szCs w:val="21"/>
                <w:shd w:val="clear" w:color="auto" w:fill="FFFFFF"/>
                <w14:textFill>
                  <w14:solidFill>
                    <w14:schemeClr w14:val="tx1"/>
                  </w14:solidFill>
                </w14:textFill>
              </w:rPr>
              <w:t>1.0284</w:t>
            </w:r>
          </w:p>
        </w:tc>
      </w:tr>
    </w:tbl>
    <w:p>
      <w:pPr>
        <w:spacing w:before="156" w:beforeLines="50" w:line="360" w:lineRule="exact"/>
        <w:rPr>
          <w:color w:val="000000" w:themeColor="text1"/>
          <w14:textFill>
            <w14:solidFill>
              <w14:schemeClr w14:val="tx1"/>
            </w14:solidFill>
          </w14:textFill>
        </w:rPr>
      </w:pPr>
      <w:r>
        <w:rPr>
          <w:rFonts w:hint="eastAsia"/>
          <w:color w:val="000000" w:themeColor="text1"/>
          <w14:textFill>
            <w14:solidFill>
              <w14:schemeClr w14:val="tx1"/>
            </w14:solidFill>
          </w14:textFill>
        </w:rPr>
        <w:t>注：</w:t>
      </w:r>
      <w:r>
        <w:rPr>
          <w:color w:val="000000" w:themeColor="text1"/>
          <w14:textFill>
            <w14:solidFill>
              <w14:schemeClr w14:val="tx1"/>
            </w14:solidFill>
          </w14:textFill>
        </w:rPr>
        <w:t>1</w:t>
      </w:r>
      <w:r>
        <w:rPr>
          <w:rFonts w:hint="eastAsia"/>
          <w:color w:val="000000" w:themeColor="text1"/>
          <w14:textFill>
            <w14:solidFill>
              <w14:schemeClr w14:val="tx1"/>
            </w14:solidFill>
          </w14:textFill>
        </w:rPr>
        <w:t>、本期收益为本期已实现收益加上本期公允价值变动收益；</w:t>
      </w:r>
    </w:p>
    <w:p>
      <w:pPr>
        <w:spacing w:before="156" w:beforeLines="50" w:line="360" w:lineRule="exact"/>
        <w:rPr>
          <w:color w:val="000000" w:themeColor="text1"/>
          <w14:textFill>
            <w14:solidFill>
              <w14:schemeClr w14:val="tx1"/>
            </w14:solidFill>
          </w14:textFill>
        </w:rPr>
      </w:pPr>
      <w:r>
        <w:rPr>
          <w:color w:val="000000" w:themeColor="text1"/>
          <w14:textFill>
            <w14:solidFill>
              <w14:schemeClr w14:val="tx1"/>
            </w14:solidFill>
          </w14:textFill>
        </w:rPr>
        <w:t xml:space="preserve">    2</w:t>
      </w:r>
      <w:r>
        <w:rPr>
          <w:rFonts w:hint="eastAsia"/>
          <w:color w:val="000000" w:themeColor="text1"/>
          <w14:textFill>
            <w14:solidFill>
              <w14:schemeClr w14:val="tx1"/>
            </w14:solidFill>
          </w14:textFill>
        </w:rPr>
        <w:t>、除产品合同和招募说明书另有规定外，期末产品份额净值按四舍五入法保留至小数点后第</w:t>
      </w:r>
      <w:r>
        <w:rPr>
          <w:color w:val="000000" w:themeColor="text1"/>
          <w14:textFill>
            <w14:solidFill>
              <w14:schemeClr w14:val="tx1"/>
            </w14:solidFill>
          </w14:textFill>
        </w:rPr>
        <w:t>4</w:t>
      </w:r>
      <w:r>
        <w:rPr>
          <w:rFonts w:hint="eastAsia"/>
          <w:color w:val="000000" w:themeColor="text1"/>
          <w14:textFill>
            <w14:solidFill>
              <w14:schemeClr w14:val="tx1"/>
            </w14:solidFill>
          </w14:textFill>
        </w:rPr>
        <w:t>位，其他财务指标保留至小数点后第</w:t>
      </w:r>
      <w:r>
        <w:rPr>
          <w:color w:val="000000" w:themeColor="text1"/>
          <w14:textFill>
            <w14:solidFill>
              <w14:schemeClr w14:val="tx1"/>
            </w14:solidFill>
          </w14:textFill>
        </w:rPr>
        <w:t>2</w:t>
      </w:r>
      <w:r>
        <w:rPr>
          <w:rFonts w:hint="eastAsia"/>
          <w:color w:val="000000" w:themeColor="text1"/>
          <w14:textFill>
            <w14:solidFill>
              <w14:schemeClr w14:val="tx1"/>
            </w14:solidFill>
          </w14:textFill>
        </w:rPr>
        <w:t>位；</w:t>
      </w:r>
    </w:p>
    <w:p>
      <w:pPr>
        <w:spacing w:before="156" w:beforeLines="50" w:line="360" w:lineRule="exact"/>
        <w:ind w:firstLine="420" w:firstLineChars="200"/>
        <w:rPr>
          <w:color w:val="000000" w:themeColor="text1"/>
          <w14:textFill>
            <w14:solidFill>
              <w14:schemeClr w14:val="tx1"/>
            </w14:solidFill>
          </w14:textFill>
        </w:rPr>
      </w:pPr>
      <w:r>
        <w:rPr>
          <w:color w:val="000000" w:themeColor="text1"/>
          <w14:textFill>
            <w14:solidFill>
              <w14:schemeClr w14:val="tx1"/>
            </w14:solidFill>
          </w14:textFill>
        </w:rPr>
        <w:t>3</w:t>
      </w:r>
      <w:r>
        <w:rPr>
          <w:rFonts w:hint="eastAsia"/>
          <w:color w:val="000000" w:themeColor="text1"/>
          <w14:textFill>
            <w14:solidFill>
              <w14:schemeClr w14:val="tx1"/>
            </w14:solidFill>
          </w14:textFill>
        </w:rPr>
        <w:t>、期末即最后一个自然日；</w:t>
      </w:r>
    </w:p>
    <w:p>
      <w:pPr>
        <w:spacing w:before="156" w:beforeLines="50" w:line="360" w:lineRule="exact"/>
        <w:rPr>
          <w:color w:val="000000" w:themeColor="text1"/>
          <w14:textFill>
            <w14:solidFill>
              <w14:schemeClr w14:val="tx1"/>
            </w14:solidFill>
          </w14:textFill>
        </w:rPr>
      </w:pPr>
      <w:r>
        <w:rPr>
          <w:color w:val="000000" w:themeColor="text1"/>
          <w14:textFill>
            <w14:solidFill>
              <w14:schemeClr w14:val="tx1"/>
            </w14:solidFill>
          </w14:textFill>
        </w:rPr>
        <w:tab/>
      </w:r>
      <w:r>
        <w:rPr>
          <w:color w:val="000000" w:themeColor="text1"/>
          <w14:textFill>
            <w14:solidFill>
              <w14:schemeClr w14:val="tx1"/>
            </w14:solidFill>
          </w14:textFill>
        </w:rPr>
        <w:t>4</w:t>
      </w:r>
      <w:r>
        <w:rPr>
          <w:rFonts w:hint="eastAsia"/>
          <w:color w:val="000000" w:themeColor="text1"/>
          <w14:textFill>
            <w14:solidFill>
              <w14:schemeClr w14:val="tx1"/>
            </w14:solidFill>
          </w14:textFill>
        </w:rPr>
        <w:t>、</w:t>
      </w:r>
      <w:r>
        <w:rPr>
          <w:rFonts w:hint="eastAsia"/>
          <w:color w:val="000000" w:themeColor="text1"/>
          <w14:textFill>
            <w14:solidFill>
              <w14:schemeClr w14:val="tx1"/>
            </w14:solidFill>
          </w14:textFill>
        </w:rPr>
        <w:t>本报告期内，本理财计划未进行分红。</w:t>
      </w:r>
    </w:p>
    <w:p>
      <w:pPr>
        <w:spacing w:before="156" w:beforeLines="50" w:line="360" w:lineRule="exact"/>
        <w:rPr>
          <w:color w:val="000000" w:themeColor="text1"/>
          <w14:textFill>
            <w14:solidFill>
              <w14:schemeClr w14:val="tx1"/>
            </w14:solidFill>
          </w14:textFill>
        </w:rPr>
      </w:pPr>
    </w:p>
    <w:p>
      <w:pPr>
        <w:spacing w:before="156" w:beforeLines="50" w:line="360" w:lineRule="exact"/>
        <w:rPr>
          <w:b/>
          <w:color w:val="000000" w:themeColor="text1"/>
          <w14:textFill>
            <w14:solidFill>
              <w14:schemeClr w14:val="tx1"/>
            </w14:solidFill>
          </w14:textFill>
        </w:rPr>
      </w:pPr>
      <w:r>
        <w:rPr>
          <w:b/>
          <w:color w:val="000000" w:themeColor="text1"/>
          <w14:textFill>
            <w14:solidFill>
              <w14:schemeClr w14:val="tx1"/>
            </w14:solidFill>
          </w14:textFill>
        </w:rPr>
        <w:t xml:space="preserve">3.2 </w:t>
      </w:r>
      <w:r>
        <w:rPr>
          <w:rFonts w:hint="eastAsia"/>
          <w:b/>
          <w:color w:val="000000" w:themeColor="text1"/>
          <w14:textFill>
            <w14:solidFill>
              <w14:schemeClr w14:val="tx1"/>
            </w14:solidFill>
          </w14:textFill>
        </w:rPr>
        <w:t>产品净值表现</w:t>
      </w:r>
    </w:p>
    <w:p>
      <w:pPr>
        <w:spacing w:before="156" w:beforeLines="50" w:line="360" w:lineRule="exact"/>
        <w:rPr>
          <w:color w:val="000000" w:themeColor="text1"/>
          <w14:textFill>
            <w14:solidFill>
              <w14:schemeClr w14:val="tx1"/>
            </w14:solidFill>
          </w14:textFill>
        </w:rPr>
      </w:pPr>
      <w:r>
        <w:rPr>
          <w:color w:val="000000" w:themeColor="text1"/>
          <w14:textFill>
            <w14:solidFill>
              <w14:schemeClr w14:val="tx1"/>
            </w14:solidFill>
          </w14:textFill>
        </w:rPr>
        <w:t>3.2.1</w:t>
      </w:r>
      <w:r>
        <w:rPr>
          <w:rFonts w:hint="eastAsia"/>
          <w:color w:val="000000" w:themeColor="text1"/>
          <w14:textFill>
            <w14:solidFill>
              <w14:schemeClr w14:val="tx1"/>
            </w14:solidFill>
          </w14:textFill>
        </w:rPr>
        <w:t>产品份额净值增长率与同期业绩比较基准收益率的比较</w:t>
      </w:r>
    </w:p>
    <w:tbl>
      <w:tblPr>
        <w:tblStyle w:val="11"/>
        <w:tblW w:w="8276" w:type="dxa"/>
        <w:tblInd w:w="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47"/>
        <w:gridCol w:w="1843"/>
        <w:gridCol w:w="1843"/>
        <w:gridCol w:w="1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2747" w:type="dxa"/>
            <w:shd w:val="clear" w:color="auto" w:fill="D9D9D9"/>
            <w:vAlign w:val="center"/>
          </w:tcPr>
          <w:p>
            <w:pPr>
              <w:jc w:val="center"/>
              <w:rPr>
                <w:rFonts w:ascii="宋体" w:hAnsi="宋体"/>
                <w:b/>
                <w:color w:val="000000" w:themeColor="text1"/>
                <w14:textFill>
                  <w14:solidFill>
                    <w14:schemeClr w14:val="tx1"/>
                  </w14:solidFill>
                </w14:textFill>
              </w:rPr>
            </w:pPr>
            <w:r>
              <w:rPr>
                <w:rFonts w:hint="eastAsia"/>
                <w:b/>
                <w:color w:val="000000" w:themeColor="text1"/>
                <w14:textFill>
                  <w14:solidFill>
                    <w14:schemeClr w14:val="tx1"/>
                  </w14:solidFill>
                </w14:textFill>
              </w:rPr>
              <w:t>阶段</w:t>
            </w:r>
          </w:p>
        </w:tc>
        <w:tc>
          <w:tcPr>
            <w:tcW w:w="1843" w:type="dxa"/>
            <w:shd w:val="clear" w:color="auto" w:fill="D9D9D9"/>
            <w:vAlign w:val="center"/>
          </w:tcPr>
          <w:p>
            <w:pPr>
              <w:jc w:val="center"/>
              <w:rPr>
                <w:rFonts w:ascii="宋体" w:hAnsi="宋体"/>
                <w:b/>
                <w:color w:val="000000" w:themeColor="text1"/>
                <w14:textFill>
                  <w14:solidFill>
                    <w14:schemeClr w14:val="tx1"/>
                  </w14:solidFill>
                </w14:textFill>
              </w:rPr>
            </w:pPr>
            <w:r>
              <w:rPr>
                <w:rFonts w:hint="eastAsia"/>
                <w:b/>
                <w:color w:val="000000" w:themeColor="text1"/>
                <w14:textFill>
                  <w14:solidFill>
                    <w14:schemeClr w14:val="tx1"/>
                  </w14:solidFill>
                </w14:textFill>
              </w:rPr>
              <w:t>净值增长率（%）</w:t>
            </w:r>
          </w:p>
        </w:tc>
        <w:tc>
          <w:tcPr>
            <w:tcW w:w="1843" w:type="dxa"/>
            <w:shd w:val="clear" w:color="auto" w:fill="D9D9D9"/>
            <w:vAlign w:val="center"/>
          </w:tcPr>
          <w:p>
            <w:pPr>
              <w:jc w:val="center"/>
              <w:rPr>
                <w:rFonts w:ascii="宋体" w:hAnsi="宋体"/>
                <w:b/>
                <w:color w:val="000000" w:themeColor="text1"/>
                <w14:textFill>
                  <w14:solidFill>
                    <w14:schemeClr w14:val="tx1"/>
                  </w14:solidFill>
                </w14:textFill>
              </w:rPr>
            </w:pPr>
            <w:r>
              <w:rPr>
                <w:rFonts w:hint="eastAsia"/>
                <w:b/>
                <w:color w:val="000000" w:themeColor="text1"/>
                <w14:textFill>
                  <w14:solidFill>
                    <w14:schemeClr w14:val="tx1"/>
                  </w14:solidFill>
                </w14:textFill>
              </w:rPr>
              <w:t>业绩比较</w:t>
            </w:r>
            <w:r>
              <w:rPr>
                <w:b/>
                <w:color w:val="000000" w:themeColor="text1"/>
                <w14:textFill>
                  <w14:solidFill>
                    <w14:schemeClr w14:val="tx1"/>
                  </w14:solidFill>
                </w14:textFill>
              </w:rPr>
              <w:t>基准</w:t>
            </w:r>
            <w:r>
              <w:rPr>
                <w:rFonts w:hint="eastAsia"/>
                <w:b/>
                <w:color w:val="000000" w:themeColor="text1"/>
                <w14:textFill>
                  <w14:solidFill>
                    <w14:schemeClr w14:val="tx1"/>
                  </w14:solidFill>
                </w14:textFill>
              </w:rPr>
              <w:t>增长率-低（%）</w:t>
            </w:r>
          </w:p>
        </w:tc>
        <w:tc>
          <w:tcPr>
            <w:tcW w:w="1843" w:type="dxa"/>
            <w:shd w:val="clear" w:color="auto" w:fill="D9D9D9"/>
          </w:tcPr>
          <w:p>
            <w:pPr>
              <w:jc w:val="right"/>
              <w:rPr>
                <w:b/>
                <w:color w:val="000000" w:themeColor="text1"/>
                <w14:textFill>
                  <w14:solidFill>
                    <w14:schemeClr w14:val="tx1"/>
                  </w14:solidFill>
                </w14:textFill>
              </w:rPr>
            </w:pPr>
            <w:r>
              <w:rPr>
                <w:rFonts w:hint="eastAsia"/>
                <w:b/>
                <w:color w:val="000000" w:themeColor="text1"/>
                <w14:textFill>
                  <w14:solidFill>
                    <w14:schemeClr w14:val="tx1"/>
                  </w14:solidFill>
                </w14:textFill>
              </w:rPr>
              <w:t>业绩比较</w:t>
            </w:r>
            <w:r>
              <w:rPr>
                <w:b/>
                <w:color w:val="000000" w:themeColor="text1"/>
                <w14:textFill>
                  <w14:solidFill>
                    <w14:schemeClr w14:val="tx1"/>
                  </w14:solidFill>
                </w14:textFill>
              </w:rPr>
              <w:t>基准</w:t>
            </w:r>
            <w:r>
              <w:rPr>
                <w:rFonts w:hint="eastAsia"/>
                <w:b/>
                <w:color w:val="000000" w:themeColor="text1"/>
                <w14:textFill>
                  <w14:solidFill>
                    <w14:schemeClr w14:val="tx1"/>
                  </w14:solidFill>
                </w14:textFill>
              </w:rPr>
              <w:t>增长率-高（%）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2747" w:type="dxa"/>
            <w:vAlign w:val="center"/>
          </w:tcPr>
          <w:p>
            <w:pPr>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当期（</w:t>
            </w:r>
            <w:r>
              <w:rPr>
                <w:rFonts w:ascii="宋体" w:hAnsi="宋体"/>
                <w:color w:val="000000" w:themeColor="text1"/>
                <w14:textFill>
                  <w14:solidFill>
                    <w14:schemeClr w14:val="tx1"/>
                  </w14:solidFill>
                </w14:textFill>
              </w:rPr>
              <w:t>2022年01月01日</w:t>
            </w:r>
            <w:r>
              <w:rPr>
                <w:rFonts w:hint="eastAsia" w:ascii="宋体" w:hAnsi="宋体"/>
                <w:color w:val="000000" w:themeColor="text1"/>
                <w14:textFill>
                  <w14:solidFill>
                    <w14:schemeClr w14:val="tx1"/>
                  </w14:solidFill>
                </w14:textFill>
              </w:rPr>
              <w:t>至</w:t>
            </w:r>
            <w:r>
              <w:rPr>
                <w:rFonts w:ascii="宋体" w:hAnsi="宋体"/>
                <w:color w:val="000000" w:themeColor="text1"/>
                <w14:textFill>
                  <w14:solidFill>
                    <w14:schemeClr w14:val="tx1"/>
                  </w14:solidFill>
                </w14:textFill>
              </w:rPr>
              <w:t>2022年06月30日</w:t>
            </w:r>
            <w:r>
              <w:rPr>
                <w:rFonts w:hint="eastAsia" w:ascii="宋体" w:hAnsi="宋体"/>
                <w:color w:val="000000" w:themeColor="text1"/>
                <w14:textFill>
                  <w14:solidFill>
                    <w14:schemeClr w14:val="tx1"/>
                  </w14:solidFill>
                </w14:textFill>
              </w:rPr>
              <w:t>）</w:t>
            </w:r>
          </w:p>
        </w:tc>
        <w:tc>
          <w:tcPr>
            <w:tcW w:w="1843" w:type="dxa"/>
            <w:vAlign w:val="center"/>
          </w:tcPr>
          <w:p>
            <w:pPr>
              <w:spacing w:line="300" w:lineRule="auto"/>
              <w:jc w:val="right"/>
              <w:rPr>
                <w:rFonts w:ascii="微软雅黑" w:hAnsi="微软雅黑" w:eastAsia="微软雅黑" w:cs="微软雅黑"/>
                <w:color w:val="000000" w:themeColor="text1"/>
                <w14:textFill>
                  <w14:solidFill>
                    <w14:schemeClr w14:val="tx1"/>
                  </w14:solidFill>
                </w14:textFill>
              </w:rPr>
            </w:pPr>
            <w:r>
              <w:rPr>
                <w:rFonts w:ascii="宋体" w:hAnsi="宋体"/>
                <w:color w:val="000000" w:themeColor="text1"/>
                <w14:textFill>
                  <w14:solidFill>
                    <w14:schemeClr w14:val="tx1"/>
                  </w14:solidFill>
                </w14:textFill>
              </w:rPr>
              <w:t>2.33</w:t>
            </w:r>
          </w:p>
        </w:tc>
        <w:tc>
          <w:tcPr>
            <w:tcW w:w="1843" w:type="dxa"/>
            <w:vAlign w:val="center"/>
          </w:tcPr>
          <w:p>
            <w:pPr>
              <w:jc w:val="right"/>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2.33</w:t>
            </w:r>
          </w:p>
        </w:tc>
        <w:tc>
          <w:tcPr>
            <w:tcW w:w="1843" w:type="dxa"/>
            <w:vAlign w:val="center"/>
          </w:tcPr>
          <w:p>
            <w:pPr>
              <w:jc w:val="right"/>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2.58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2747" w:type="dxa"/>
            <w:vAlign w:val="center"/>
          </w:tcPr>
          <w:p>
            <w:pPr>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自产品成立日至今</w:t>
            </w:r>
          </w:p>
        </w:tc>
        <w:tc>
          <w:tcPr>
            <w:tcW w:w="1843" w:type="dxa"/>
            <w:vAlign w:val="center"/>
          </w:tcPr>
          <w:p>
            <w:pPr>
              <w:jc w:val="right"/>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2.84</w:t>
            </w:r>
            <w:bookmarkStart w:id="7" w:name="OLE_LINK7"/>
            <w:bookmarkEnd w:id="7"/>
            <w:bookmarkStart w:id="8" w:name="OLE_LINK4"/>
            <w:bookmarkEnd w:id="8"/>
          </w:p>
        </w:tc>
        <w:tc>
          <w:tcPr>
            <w:tcW w:w="1843" w:type="dxa"/>
            <w:vAlign w:val="center"/>
          </w:tcPr>
          <w:p>
            <w:pPr>
              <w:jc w:val="right"/>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2.83</w:t>
            </w:r>
          </w:p>
        </w:tc>
        <w:tc>
          <w:tcPr>
            <w:tcW w:w="1843" w:type="dxa"/>
            <w:vAlign w:val="center"/>
          </w:tcPr>
          <w:p>
            <w:pPr>
              <w:jc w:val="right"/>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3.13</w:t>
            </w:r>
          </w:p>
        </w:tc>
      </w:tr>
    </w:tbl>
    <w:p>
      <w:pPr>
        <w:spacing w:before="156" w:beforeLines="50" w:line="360" w:lineRule="exact"/>
        <w:rPr>
          <w:color w:val="000000" w:themeColor="text1"/>
          <w14:textFill>
            <w14:solidFill>
              <w14:schemeClr w14:val="tx1"/>
            </w14:solidFill>
          </w14:textFill>
        </w:rPr>
      </w:pPr>
    </w:p>
    <w:p>
      <w:pPr>
        <w:spacing w:before="156" w:beforeLines="50" w:line="360" w:lineRule="exact"/>
        <w:rPr>
          <w:color w:val="000000" w:themeColor="text1"/>
          <w14:textFill>
            <w14:solidFill>
              <w14:schemeClr w14:val="tx1"/>
            </w14:solidFill>
          </w14:textFill>
        </w:rPr>
      </w:pPr>
      <w:r>
        <w:rPr>
          <w:color w:val="000000" w:themeColor="text1"/>
          <w14:textFill>
            <w14:solidFill>
              <w14:schemeClr w14:val="tx1"/>
            </w14:solidFill>
          </w14:textFill>
        </w:rPr>
        <w:t>3.2.2</w:t>
      </w:r>
      <w:r>
        <w:rPr>
          <w:rFonts w:hint="eastAsia"/>
          <w:color w:val="000000" w:themeColor="text1"/>
          <w14:textFill>
            <w14:solidFill>
              <w14:schemeClr w14:val="tx1"/>
            </w14:solidFill>
          </w14:textFill>
        </w:rPr>
        <w:t>产品累计份额净值增长率与同期业绩比较基准收益率变动比较走势图</w:t>
      </w:r>
    </w:p>
    <w:p>
      <w:pPr>
        <w:spacing w:before="156" w:beforeLines="50" w:after="156" w:afterLines="50" w:line="360" w:lineRule="auto"/>
        <w:jc w:val="center"/>
        <w:rPr>
          <w:color w:val="000000" w:themeColor="text1"/>
          <w14:textFill>
            <w14:solidFill>
              <w14:schemeClr w14:val="tx1"/>
            </w14:solidFill>
          </w14:textFill>
        </w:rPr>
      </w:pPr>
      <w:r>
        <w:rPr>
          <w:color w:val="000000" w:themeColor="text1"/>
          <w14:textFill>
            <w14:solidFill>
              <w14:schemeClr w14:val="tx1"/>
            </w14:solidFill>
          </w14:textFill>
        </w:rPr>
        <w:drawing>
          <wp:inline distT="0" distB="0" distL="114300" distR="114300">
            <wp:extent cx="4572000" cy="2743200"/>
            <wp:effectExtent l="4445" t="4445" r="14605" b="14605"/>
            <wp:docPr id="2"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pPr>
        <w:spacing w:before="156" w:beforeLines="50" w:after="156" w:afterLines="50" w:line="360" w:lineRule="auto"/>
        <w:jc w:val="center"/>
        <w:rPr>
          <w:color w:val="000000" w:themeColor="text1"/>
          <w14:textFill>
            <w14:solidFill>
              <w14:schemeClr w14:val="tx1"/>
            </w14:solidFill>
          </w14:textFill>
        </w:rPr>
      </w:pPr>
      <w:r>
        <w:rPr>
          <w:rFonts w:hint="eastAsia" w:asciiTheme="minorEastAsia" w:hAnsiTheme="minorEastAsia" w:eastAsiaTheme="minorEastAsia"/>
          <w:b/>
          <w:color w:val="000000" w:themeColor="text1"/>
          <w:sz w:val="24"/>
          <w:szCs w:val="24"/>
          <w14:textFill>
            <w14:solidFill>
              <w14:schemeClr w14:val="tx1"/>
            </w14:solidFill>
          </w14:textFill>
        </w:rPr>
        <w:t>§</w:t>
      </w:r>
      <w:r>
        <w:rPr>
          <w:rFonts w:asciiTheme="minorEastAsia" w:hAnsiTheme="minorEastAsia" w:eastAsiaTheme="minorEastAsia"/>
          <w:b/>
          <w:color w:val="000000" w:themeColor="text1"/>
          <w:sz w:val="24"/>
          <w:szCs w:val="24"/>
          <w14:textFill>
            <w14:solidFill>
              <w14:schemeClr w14:val="tx1"/>
            </w14:solidFill>
          </w14:textFill>
        </w:rPr>
        <w:t>4</w:t>
      </w:r>
      <w:r>
        <w:rPr>
          <w:rFonts w:hint="eastAsia" w:asciiTheme="minorEastAsia" w:hAnsiTheme="minorEastAsia" w:eastAsiaTheme="minorEastAsia"/>
          <w:b/>
          <w:color w:val="000000" w:themeColor="text1"/>
          <w:sz w:val="24"/>
          <w:szCs w:val="24"/>
          <w14:textFill>
            <w14:solidFill>
              <w14:schemeClr w14:val="tx1"/>
            </w14:solidFill>
          </w14:textFill>
        </w:rPr>
        <w:t xml:space="preserve"> 管理人报告</w:t>
      </w:r>
    </w:p>
    <w:p>
      <w:pPr>
        <w:spacing w:before="156" w:beforeLines="50" w:line="360" w:lineRule="exact"/>
        <w:rPr>
          <w:b/>
          <w:color w:val="000000" w:themeColor="text1"/>
          <w14:textFill>
            <w14:solidFill>
              <w14:schemeClr w14:val="tx1"/>
            </w14:solidFill>
          </w14:textFill>
        </w:rPr>
      </w:pPr>
      <w:r>
        <w:rPr>
          <w:b/>
          <w:color w:val="000000" w:themeColor="text1"/>
          <w14:textFill>
            <w14:solidFill>
              <w14:schemeClr w14:val="tx1"/>
            </w14:solidFill>
          </w14:textFill>
        </w:rPr>
        <w:t xml:space="preserve">4.1 </w:t>
      </w:r>
      <w:r>
        <w:rPr>
          <w:rFonts w:hint="eastAsia"/>
          <w:b/>
          <w:color w:val="000000" w:themeColor="text1"/>
          <w14:textFill>
            <w14:solidFill>
              <w14:schemeClr w14:val="tx1"/>
            </w14:solidFill>
          </w14:textFill>
        </w:rPr>
        <w:t>报告期内产品投资策略和运作分析</w:t>
      </w:r>
    </w:p>
    <w:p>
      <w:pPr>
        <w:spacing w:before="156" w:beforeLines="50" w:line="36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本产品为固定收益类理财产品，资产配置主要包括现金、同业回购等货币市场工具、债券和基金等满足安全性和流动性要求的金融产品，其中债券类配置以风险可控的城投债为主，进一步提高理财产品的收益水平。资产配置策略方面，管理人综合分析并持续跟踪基本面、政策面和市场面等多方面因素，结合宏观经济、国家政策和市场流动性等趋势研判，采取积极主动的投资管理策略，通过自上而下的定性与定量分析，对利率变化趋势、收益率曲线变化趋势、信用利差等影响固定收益资产价格的因素进行评估，对不同投资品种运用差异化投资策略。在信用风险可控的前提下，构建和调整固定收益投资策略，寻求平衡流动性与收益情况的最佳组合，采取票息策略，严格控制组合久期和杠杆水平，力求获得稳健或超过业绩比较基准的投资收益。</w:t>
      </w:r>
    </w:p>
    <w:p>
      <w:pPr>
        <w:spacing w:before="156" w:beforeLines="50" w:line="360" w:lineRule="exact"/>
        <w:rPr>
          <w:color w:val="000000" w:themeColor="text1"/>
          <w14:textFill>
            <w14:solidFill>
              <w14:schemeClr w14:val="tx1"/>
            </w14:solidFill>
          </w14:textFill>
        </w:rPr>
      </w:pPr>
    </w:p>
    <w:p>
      <w:pPr>
        <w:spacing w:before="156" w:beforeLines="50" w:line="360" w:lineRule="exact"/>
        <w:rPr>
          <w:b/>
          <w:color w:val="000000" w:themeColor="text1"/>
          <w14:textFill>
            <w14:solidFill>
              <w14:schemeClr w14:val="tx1"/>
            </w14:solidFill>
          </w14:textFill>
        </w:rPr>
      </w:pPr>
      <w:r>
        <w:rPr>
          <w:b/>
          <w:color w:val="000000" w:themeColor="text1"/>
          <w14:textFill>
            <w14:solidFill>
              <w14:schemeClr w14:val="tx1"/>
            </w14:solidFill>
          </w14:textFill>
        </w:rPr>
        <w:t xml:space="preserve">4.2 </w:t>
      </w:r>
      <w:r>
        <w:rPr>
          <w:rFonts w:hint="eastAsia"/>
          <w:b/>
          <w:color w:val="000000" w:themeColor="text1"/>
          <w14:textFill>
            <w14:solidFill>
              <w14:schemeClr w14:val="tx1"/>
            </w14:solidFill>
          </w14:textFill>
        </w:rPr>
        <w:t>报告期内产品的业绩表现</w:t>
      </w:r>
    </w:p>
    <w:p>
      <w:pPr>
        <w:spacing w:before="156" w:beforeLines="50" w:line="360" w:lineRule="exact"/>
        <w:ind w:firstLine="420" w:firstLineChars="20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在报告期内</w:t>
      </w:r>
      <w:r>
        <w:rPr>
          <w:rFonts w:hint="eastAsia" w:ascii="宋体" w:hAnsi="宋体"/>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t>产品份额净值增长率为</w:t>
      </w:r>
      <w:r>
        <w:rPr>
          <w:rFonts w:ascii="宋体" w:hAnsi="宋体"/>
          <w:color w:val="000000" w:themeColor="text1"/>
          <w:szCs w:val="21"/>
          <w14:textFill>
            <w14:solidFill>
              <w14:schemeClr w14:val="tx1"/>
            </w14:solidFill>
          </w14:textFill>
        </w:rPr>
        <w:t>2.33%</w:t>
      </w:r>
      <w:r>
        <w:rPr>
          <w:rFonts w:hint="eastAsia" w:ascii="宋体" w:hAnsi="宋体"/>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t>报告期内</w:t>
      </w:r>
      <w:r>
        <w:rPr>
          <w:rFonts w:hint="eastAsia" w:ascii="宋体" w:hAnsi="宋体"/>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t>本期产品配置债券价格</w:t>
      </w:r>
      <w:r>
        <w:rPr>
          <w:rFonts w:ascii="宋体" w:hAnsi="宋体"/>
          <w:color w:val="000000" w:themeColor="text1"/>
          <w:szCs w:val="21"/>
          <w14:textFill>
            <w14:solidFill>
              <w14:schemeClr w14:val="tx1"/>
            </w14:solidFill>
          </w14:textFill>
        </w:rPr>
        <w:t>整体波动不大</w:t>
      </w:r>
      <w:r>
        <w:rPr>
          <w:rFonts w:hint="eastAsia" w:ascii="宋体" w:hAnsi="宋体"/>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t>在可控范围内</w:t>
      </w:r>
      <w:r>
        <w:rPr>
          <w:rFonts w:hint="eastAsia" w:ascii="宋体" w:hAnsi="宋体"/>
          <w:color w:val="000000" w:themeColor="text1"/>
          <w:szCs w:val="21"/>
          <w14:textFill>
            <w14:solidFill>
              <w14:schemeClr w14:val="tx1"/>
            </w14:solidFill>
          </w14:textFill>
        </w:rPr>
        <w:t>。</w:t>
      </w:r>
    </w:p>
    <w:p>
      <w:pPr>
        <w:spacing w:before="156" w:beforeLines="50" w:line="360" w:lineRule="exact"/>
        <w:rPr>
          <w:color w:val="000000" w:themeColor="text1"/>
          <w14:textFill>
            <w14:solidFill>
              <w14:schemeClr w14:val="tx1"/>
            </w14:solidFill>
          </w14:textFill>
        </w:rPr>
      </w:pPr>
    </w:p>
    <w:p>
      <w:pPr>
        <w:spacing w:before="156" w:beforeLines="50" w:line="360" w:lineRule="exact"/>
        <w:rPr>
          <w:b/>
          <w:color w:val="000000" w:themeColor="text1"/>
          <w14:textFill>
            <w14:solidFill>
              <w14:schemeClr w14:val="tx1"/>
            </w14:solidFill>
          </w14:textFill>
        </w:rPr>
      </w:pPr>
      <w:r>
        <w:rPr>
          <w:b/>
          <w:color w:val="000000" w:themeColor="text1"/>
          <w14:textFill>
            <w14:solidFill>
              <w14:schemeClr w14:val="tx1"/>
            </w14:solidFill>
          </w14:textFill>
        </w:rPr>
        <w:t>4.3</w:t>
      </w:r>
      <w:r>
        <w:rPr>
          <w:rFonts w:hint="eastAsia"/>
          <w:b/>
          <w:color w:val="000000" w:themeColor="text1"/>
          <w14:textFill>
            <w14:solidFill>
              <w14:schemeClr w14:val="tx1"/>
            </w14:solidFill>
          </w14:textFill>
        </w:rPr>
        <w:t>报告期内产品主要投资风险</w:t>
      </w:r>
    </w:p>
    <w:p>
      <w:pPr>
        <w:spacing w:before="156" w:beforeLines="50" w:after="156" w:afterLines="50" w:line="360" w:lineRule="auto"/>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ab/>
      </w:r>
      <w:r>
        <w:rPr>
          <w:rFonts w:hint="eastAsia" w:ascii="宋体" w:hAnsi="宋体"/>
          <w:color w:val="000000" w:themeColor="text1"/>
          <w:szCs w:val="21"/>
          <w14:textFill>
            <w14:solidFill>
              <w14:schemeClr w14:val="tx1"/>
            </w14:solidFill>
          </w14:textFill>
        </w:rPr>
        <w:t>产品的投资品种价格受经济因素、政治因素、投资心理和交易制度等各种因素影响引起波动，导致收益水平变化产生风险。主要包括：政策风险、经济周期风险、利率风险、信用风险、再投资风险等。</w:t>
      </w:r>
    </w:p>
    <w:p>
      <w:pPr>
        <w:widowControl/>
        <w:jc w:val="left"/>
        <w:rPr>
          <w:rFonts w:ascii="宋体" w:hAnsi="宋体"/>
          <w:color w:val="000000" w:themeColor="text1"/>
          <w:szCs w:val="21"/>
          <w14:textFill>
            <w14:solidFill>
              <w14:schemeClr w14:val="tx1"/>
            </w14:solidFill>
          </w14:textFill>
        </w:rPr>
      </w:pPr>
    </w:p>
    <w:p>
      <w:pPr>
        <w:spacing w:before="156" w:beforeLines="50" w:after="156" w:afterLines="50" w:line="360" w:lineRule="auto"/>
        <w:jc w:val="center"/>
        <w:rPr>
          <w:color w:val="000000" w:themeColor="text1"/>
          <w14:textFill>
            <w14:solidFill>
              <w14:schemeClr w14:val="tx1"/>
            </w14:solidFill>
          </w14:textFill>
        </w:rPr>
      </w:pPr>
      <w:r>
        <w:rPr>
          <w:rFonts w:hint="eastAsia" w:asciiTheme="minorEastAsia" w:hAnsiTheme="minorEastAsia" w:eastAsiaTheme="minorEastAsia"/>
          <w:b/>
          <w:color w:val="000000" w:themeColor="text1"/>
          <w:sz w:val="24"/>
          <w:szCs w:val="24"/>
          <w14:textFill>
            <w14:solidFill>
              <w14:schemeClr w14:val="tx1"/>
            </w14:solidFill>
          </w14:textFill>
        </w:rPr>
        <w:t>§</w:t>
      </w:r>
      <w:r>
        <w:rPr>
          <w:rFonts w:asciiTheme="minorEastAsia" w:hAnsiTheme="minorEastAsia" w:eastAsiaTheme="minorEastAsia"/>
          <w:b/>
          <w:color w:val="000000" w:themeColor="text1"/>
          <w:sz w:val="24"/>
          <w:szCs w:val="24"/>
          <w14:textFill>
            <w14:solidFill>
              <w14:schemeClr w14:val="tx1"/>
            </w14:solidFill>
          </w14:textFill>
        </w:rPr>
        <w:t>5</w:t>
      </w:r>
      <w:r>
        <w:rPr>
          <w:rFonts w:hint="eastAsia" w:asciiTheme="minorEastAsia" w:hAnsiTheme="minorEastAsia" w:eastAsiaTheme="minorEastAsia"/>
          <w:b/>
          <w:color w:val="000000" w:themeColor="text1"/>
          <w:sz w:val="24"/>
          <w:szCs w:val="24"/>
          <w14:textFill>
            <w14:solidFill>
              <w14:schemeClr w14:val="tx1"/>
            </w14:solidFill>
          </w14:textFill>
        </w:rPr>
        <w:t xml:space="preserve"> 投资组合报告</w:t>
      </w:r>
    </w:p>
    <w:p>
      <w:pPr>
        <w:spacing w:before="156" w:beforeLines="50" w:after="156" w:afterLines="50" w:line="360" w:lineRule="auto"/>
        <w:rPr>
          <w:b/>
          <w:color w:val="000000" w:themeColor="text1"/>
          <w14:textFill>
            <w14:solidFill>
              <w14:schemeClr w14:val="tx1"/>
            </w14:solidFill>
          </w14:textFill>
        </w:rPr>
      </w:pPr>
      <w:r>
        <w:rPr>
          <w:b/>
          <w:color w:val="000000" w:themeColor="text1"/>
          <w14:textFill>
            <w14:solidFill>
              <w14:schemeClr w14:val="tx1"/>
            </w14:solidFill>
          </w14:textFill>
        </w:rPr>
        <w:t>5.</w:t>
      </w:r>
      <w:r>
        <w:rPr>
          <w:rFonts w:hint="eastAsia"/>
          <w:b/>
          <w:color w:val="000000" w:themeColor="text1"/>
          <w14:textFill>
            <w14:solidFill>
              <w14:schemeClr w14:val="tx1"/>
            </w14:solidFill>
          </w14:textFill>
        </w:rPr>
        <w:t>1期末直接前十项持仓资产情况</w:t>
      </w:r>
    </w:p>
    <w:tbl>
      <w:tblPr>
        <w:tblStyle w:val="11"/>
        <w:tblW w:w="9192" w:type="dxa"/>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878"/>
        <w:gridCol w:w="4179"/>
        <w:gridCol w:w="2066"/>
        <w:gridCol w:w="20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805" w:hRule="atLeast"/>
        </w:trPr>
        <w:tc>
          <w:tcPr>
            <w:tcW w:w="878" w:type="dxa"/>
            <w:shd w:val="clear" w:color="auto" w:fill="auto"/>
            <w:vAlign w:val="center"/>
          </w:tcPr>
          <w:p>
            <w:pPr>
              <w:jc w:val="center"/>
              <w:rPr>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序号</w:t>
            </w:r>
          </w:p>
        </w:tc>
        <w:tc>
          <w:tcPr>
            <w:tcW w:w="4179" w:type="dxa"/>
            <w:shd w:val="clear" w:color="auto" w:fill="auto"/>
            <w:vAlign w:val="center"/>
          </w:tcPr>
          <w:p>
            <w:pPr>
              <w:jc w:val="center"/>
              <w:rPr>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项目</w:t>
            </w:r>
          </w:p>
        </w:tc>
        <w:tc>
          <w:tcPr>
            <w:tcW w:w="2066" w:type="dxa"/>
            <w:shd w:val="clear" w:color="auto" w:fill="auto"/>
            <w:vAlign w:val="center"/>
          </w:tcPr>
          <w:p>
            <w:pPr>
              <w:jc w:val="center"/>
              <w:rPr>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金额(元)</w:t>
            </w:r>
          </w:p>
        </w:tc>
        <w:tc>
          <w:tcPr>
            <w:tcW w:w="2069" w:type="dxa"/>
            <w:shd w:val="clear" w:color="auto" w:fill="auto"/>
            <w:vAlign w:val="center"/>
          </w:tcPr>
          <w:p>
            <w:pPr>
              <w:jc w:val="center"/>
              <w:rPr>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57" w:hRule="atLeast"/>
        </w:trPr>
        <w:tc>
          <w:tcPr>
            <w:tcW w:w="878" w:type="dxa"/>
            <w:shd w:val="clear" w:color="auto" w:fill="auto"/>
          </w:tcPr>
          <w:p>
            <w:pPr>
              <w:jc w:val="center"/>
              <w:rPr>
                <w:rFonts w:ascii="宋体" w:hAnsi="宋体" w:cs="宋体"/>
                <w:color w:val="000000" w:themeColor="text1"/>
                <w:sz w:val="22"/>
                <w:szCs w:val="22"/>
                <w14:textFill>
                  <w14:solidFill>
                    <w14:schemeClr w14:val="tx1"/>
                  </w14:solidFill>
                </w14:textFill>
              </w:rPr>
            </w:pPr>
            <w:r>
              <w:rPr>
                <w:color w:val="000000" w:themeColor="text1"/>
                <w14:textFill>
                  <w14:solidFill>
                    <w14:schemeClr w14:val="tx1"/>
                  </w14:solidFill>
                </w14:textFill>
              </w:rPr>
              <w:t>1</w:t>
            </w:r>
          </w:p>
        </w:tc>
        <w:tc>
          <w:tcPr>
            <w:tcW w:w="4179" w:type="dxa"/>
            <w:shd w:val="clear" w:color="auto" w:fill="auto"/>
          </w:tcPr>
          <w:p>
            <w:pPr>
              <w:jc w:val="lef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方正富邦—贵阳农商行稳健1号集合资产管理计划</w:t>
            </w:r>
          </w:p>
        </w:tc>
        <w:tc>
          <w:tcPr>
            <w:tcW w:w="2066"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106,788,477.36</w:t>
            </w:r>
          </w:p>
        </w:tc>
        <w:tc>
          <w:tcPr>
            <w:tcW w:w="2069"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57" w:hRule="atLeast"/>
        </w:trPr>
        <w:tc>
          <w:tcPr>
            <w:tcW w:w="878" w:type="dxa"/>
            <w:shd w:val="clear" w:color="auto" w:fill="auto"/>
          </w:tcPr>
          <w:p>
            <w:pPr>
              <w:jc w:val="center"/>
              <w:rPr>
                <w:rFonts w:ascii="宋体" w:hAnsi="宋体" w:cs="宋体"/>
                <w:color w:val="000000" w:themeColor="text1"/>
                <w:sz w:val="22"/>
                <w:szCs w:val="22"/>
                <w14:textFill>
                  <w14:solidFill>
                    <w14:schemeClr w14:val="tx1"/>
                  </w14:solidFill>
                </w14:textFill>
              </w:rPr>
            </w:pPr>
          </w:p>
        </w:tc>
        <w:tc>
          <w:tcPr>
            <w:tcW w:w="4179" w:type="dxa"/>
            <w:shd w:val="clear" w:color="auto" w:fill="auto"/>
          </w:tcPr>
          <w:p>
            <w:pPr>
              <w:jc w:val="lef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合计</w:t>
            </w:r>
          </w:p>
        </w:tc>
        <w:tc>
          <w:tcPr>
            <w:tcW w:w="2066"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106,788,477.36</w:t>
            </w:r>
          </w:p>
        </w:tc>
        <w:tc>
          <w:tcPr>
            <w:tcW w:w="2069"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100.00</w:t>
            </w:r>
          </w:p>
        </w:tc>
      </w:tr>
    </w:tbl>
    <w:p>
      <w:pPr>
        <w:spacing w:before="156" w:beforeLines="50" w:after="156" w:afterLines="50" w:line="360" w:lineRule="auto"/>
        <w:rPr>
          <w:color w:val="000000" w:themeColor="text1"/>
          <w14:textFill>
            <w14:solidFill>
              <w14:schemeClr w14:val="tx1"/>
            </w14:solidFill>
          </w14:textFill>
        </w:rPr>
      </w:pPr>
      <w:r>
        <w:rPr>
          <w:color w:val="000000" w:themeColor="text1"/>
          <w14:textFill>
            <w14:solidFill>
              <w14:schemeClr w14:val="tx1"/>
            </w14:solidFill>
          </w14:textFill>
        </w:rPr>
        <w:tab/>
      </w:r>
      <w:r>
        <w:rPr>
          <w:rFonts w:hint="eastAsia"/>
          <w:color w:val="000000" w:themeColor="text1"/>
          <w14:textFill>
            <w14:solidFill>
              <w14:schemeClr w14:val="tx1"/>
            </w14:solidFill>
          </w14:textFill>
        </w:rPr>
        <w:t>注：由于四舍五入原因，各分项占资产总值的比例之和与合计可能存在尾差。</w:t>
      </w:r>
    </w:p>
    <w:p>
      <w:pPr>
        <w:spacing w:before="156" w:beforeLines="50" w:after="156" w:afterLines="50" w:line="360" w:lineRule="auto"/>
        <w:rPr>
          <w:b/>
          <w:color w:val="000000" w:themeColor="text1"/>
          <w14:textFill>
            <w14:solidFill>
              <w14:schemeClr w14:val="tx1"/>
            </w14:solidFill>
          </w14:textFill>
        </w:rPr>
      </w:pPr>
    </w:p>
    <w:p>
      <w:pPr>
        <w:spacing w:before="156" w:beforeLines="50" w:after="156" w:afterLines="50" w:line="360" w:lineRule="auto"/>
        <w:rPr>
          <w:b/>
          <w:color w:val="000000" w:themeColor="text1"/>
          <w14:textFill>
            <w14:solidFill>
              <w14:schemeClr w14:val="tx1"/>
            </w14:solidFill>
          </w14:textFill>
        </w:rPr>
      </w:pPr>
      <w:r>
        <w:rPr>
          <w:b/>
          <w:color w:val="000000" w:themeColor="text1"/>
          <w14:textFill>
            <w14:solidFill>
              <w14:schemeClr w14:val="tx1"/>
            </w14:solidFill>
          </w14:textFill>
        </w:rPr>
        <w:t>5.</w:t>
      </w:r>
      <w:r>
        <w:rPr>
          <w:rFonts w:hint="eastAsia"/>
          <w:b/>
          <w:color w:val="000000" w:themeColor="text1"/>
          <w14:textFill>
            <w14:solidFill>
              <w14:schemeClr w14:val="tx1"/>
            </w14:solidFill>
          </w14:textFill>
        </w:rPr>
        <w:t>2期末理财产品资产组合情况</w:t>
      </w:r>
    </w:p>
    <w:p>
      <w:pPr>
        <w:spacing w:before="156" w:beforeLines="50" w:after="156" w:afterLines="50" w:line="360" w:lineRule="auto"/>
        <w:rPr>
          <w:color w:val="000000" w:themeColor="text1"/>
          <w14:textFill>
            <w14:solidFill>
              <w14:schemeClr w14:val="tx1"/>
            </w14:solidFill>
          </w14:textFill>
        </w:rPr>
      </w:pPr>
      <w:r>
        <w:rPr>
          <w:color w:val="000000" w:themeColor="text1"/>
          <w14:textFill>
            <w14:solidFill>
              <w14:schemeClr w14:val="tx1"/>
            </w14:solidFill>
          </w14:textFill>
        </w:rPr>
        <w:t>5.</w:t>
      </w:r>
      <w:r>
        <w:rPr>
          <w:rFonts w:hint="eastAsia"/>
          <w:color w:val="000000" w:themeColor="text1"/>
          <w14:textFill>
            <w14:solidFill>
              <w14:schemeClr w14:val="tx1"/>
            </w14:solidFill>
          </w14:textFill>
        </w:rPr>
        <w:t>2</w:t>
      </w:r>
      <w:r>
        <w:rPr>
          <w:color w:val="000000" w:themeColor="text1"/>
          <w14:textFill>
            <w14:solidFill>
              <w14:schemeClr w14:val="tx1"/>
            </w14:solidFill>
          </w14:textFill>
        </w:rPr>
        <w:t>.1</w:t>
      </w:r>
      <w:r>
        <w:rPr>
          <w:rFonts w:hint="eastAsia"/>
          <w:color w:val="000000" w:themeColor="text1"/>
          <w14:textFill>
            <w14:solidFill>
              <w14:schemeClr w14:val="tx1"/>
            </w14:solidFill>
          </w14:textFill>
        </w:rPr>
        <w:t>期末理财产品直接投资资产组合情况</w:t>
      </w:r>
    </w:p>
    <w:p>
      <w:pPr>
        <w:ind w:right="105"/>
        <w:jc w:val="right"/>
        <w:rPr>
          <w:color w:val="000000" w:themeColor="text1"/>
          <w14:textFill>
            <w14:solidFill>
              <w14:schemeClr w14:val="tx1"/>
            </w14:solidFill>
          </w14:textFill>
        </w:rPr>
      </w:pPr>
    </w:p>
    <w:tbl>
      <w:tblPr>
        <w:tblStyle w:val="11"/>
        <w:tblW w:w="836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3402"/>
        <w:gridCol w:w="2126"/>
        <w:gridCol w:w="2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trPr>
        <w:tc>
          <w:tcPr>
            <w:tcW w:w="709" w:type="dxa"/>
            <w:shd w:val="clear" w:color="auto" w:fill="auto"/>
            <w:vAlign w:val="center"/>
          </w:tcPr>
          <w:p>
            <w:pPr>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序号</w:t>
            </w:r>
          </w:p>
        </w:tc>
        <w:tc>
          <w:tcPr>
            <w:tcW w:w="3402" w:type="dxa"/>
            <w:shd w:val="clear" w:color="auto" w:fill="auto"/>
            <w:vAlign w:val="center"/>
          </w:tcPr>
          <w:p>
            <w:pPr>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项目</w:t>
            </w:r>
          </w:p>
        </w:tc>
        <w:tc>
          <w:tcPr>
            <w:tcW w:w="2126" w:type="dxa"/>
            <w:shd w:val="clear" w:color="auto" w:fill="auto"/>
            <w:vAlign w:val="center"/>
          </w:tcPr>
          <w:p>
            <w:pPr>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金额(元)</w:t>
            </w:r>
          </w:p>
        </w:tc>
        <w:tc>
          <w:tcPr>
            <w:tcW w:w="2127" w:type="dxa"/>
            <w:shd w:val="clear" w:color="auto" w:fill="auto"/>
            <w:vAlign w:val="center"/>
          </w:tcPr>
          <w:p>
            <w:pPr>
              <w:jc w:val="center"/>
              <w:rPr>
                <w:rFonts w:ascii="宋体" w:hAnsi="宋体"/>
                <w:b/>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1</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权益投资</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其中：普通股</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xml:space="preserve">      存托凭证</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2</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基金投资</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3</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固定收益投资</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其中：债券</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资产支持证券</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4</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金融衍生品投资</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其中：远期</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xml:space="preserve">      期货</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xml:space="preserve">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xml:space="preserve">      期权</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xml:space="preserve">      权证</w:t>
            </w:r>
          </w:p>
        </w:tc>
        <w:tc>
          <w:tcPr>
            <w:tcW w:w="2126" w:type="dxa"/>
            <w:shd w:val="clear" w:color="auto" w:fill="auto"/>
            <w:vAlign w:val="center"/>
          </w:tcPr>
          <w:p>
            <w:pPr>
              <w:ind w:right="105"/>
              <w:jc w:val="right"/>
              <w:rPr>
                <w:rFonts w:ascii="宋体" w:hAnsi="宋体"/>
                <w:color w:val="000000" w:themeColor="text1"/>
                <w14:textFill>
                  <w14:solidFill>
                    <w14:schemeClr w14:val="tx1"/>
                  </w14:solidFill>
                </w14:textFill>
              </w:rPr>
            </w:pP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5</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买入返售金融资产</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其中：买断式回购的买入返售金融资产</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6</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货币市场工具</w:t>
            </w:r>
          </w:p>
        </w:tc>
        <w:tc>
          <w:tcPr>
            <w:tcW w:w="2126" w:type="dxa"/>
            <w:shd w:val="clear" w:color="auto" w:fill="auto"/>
            <w:vAlign w:val="center"/>
          </w:tcPr>
          <w:p>
            <w:pPr>
              <w:ind w:right="105"/>
              <w:jc w:val="right"/>
              <w:rPr>
                <w:rFonts w:ascii="宋体" w:hAnsi="宋体"/>
                <w:color w:val="000000" w:themeColor="text1"/>
                <w14:textFill>
                  <w14:solidFill>
                    <w14:schemeClr w14:val="tx1"/>
                  </w14:solidFill>
                </w14:textFill>
              </w:rPr>
            </w:pP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7</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银行存款和结算备付金合计</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33.70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8</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拆放同业</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9</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资管产品</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106,788,477.36</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ascii="宋体" w:hAnsi="宋体" w:cs="宋体"/>
                <w:color w:val="000000" w:themeColor="text1"/>
                <w:kern w:val="0"/>
                <w:sz w:val="22"/>
                <w:szCs w:val="22"/>
                <w14:textFill>
                  <w14:solidFill>
                    <w14:schemeClr w14:val="tx1"/>
                  </w14:solidFill>
                </w14:textFill>
              </w:rPr>
              <w:t>10</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其他资产</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tcPr>
          <w:p>
            <w:pPr>
              <w:jc w:val="left"/>
              <w:rPr>
                <w:rFonts w:ascii="宋体" w:hAnsi="宋体"/>
                <w:color w:val="000000" w:themeColor="text1"/>
                <w:szCs w:val="21"/>
                <w14:textFill>
                  <w14:solidFill>
                    <w14:schemeClr w14:val="tx1"/>
                  </w14:solidFill>
                </w14:textFill>
              </w:rPr>
            </w:pPr>
          </w:p>
        </w:tc>
        <w:tc>
          <w:tcPr>
            <w:tcW w:w="3402" w:type="dxa"/>
            <w:shd w:val="clear" w:color="auto" w:fill="auto"/>
          </w:tcPr>
          <w:p>
            <w:pPr>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合计</w:t>
            </w:r>
          </w:p>
        </w:tc>
        <w:tc>
          <w:tcPr>
            <w:tcW w:w="2126" w:type="dxa"/>
            <w:shd w:val="clear" w:color="auto" w:fill="auto"/>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106,788,511.06</w:t>
            </w:r>
          </w:p>
        </w:tc>
        <w:tc>
          <w:tcPr>
            <w:tcW w:w="2127" w:type="dxa"/>
            <w:shd w:val="clear" w:color="auto" w:fill="auto"/>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100.00</w:t>
            </w:r>
          </w:p>
        </w:tc>
      </w:tr>
    </w:tbl>
    <w:p>
      <w:pPr>
        <w:spacing w:before="156" w:beforeLines="50" w:after="156" w:afterLines="50" w:line="360" w:lineRule="auto"/>
        <w:rPr>
          <w:color w:val="000000" w:themeColor="text1"/>
          <w14:textFill>
            <w14:solidFill>
              <w14:schemeClr w14:val="tx1"/>
            </w14:solidFill>
          </w14:textFill>
        </w:rPr>
      </w:pPr>
    </w:p>
    <w:p>
      <w:pPr>
        <w:spacing w:before="156" w:beforeLines="50" w:after="156" w:afterLines="50" w:line="360" w:lineRule="auto"/>
        <w:rPr>
          <w:color w:val="000000" w:themeColor="text1"/>
          <w14:textFill>
            <w14:solidFill>
              <w14:schemeClr w14:val="tx1"/>
            </w14:solidFill>
          </w14:textFill>
        </w:rPr>
      </w:pPr>
      <w:r>
        <w:rPr>
          <w:color w:val="000000" w:themeColor="text1"/>
          <w14:textFill>
            <w14:solidFill>
              <w14:schemeClr w14:val="tx1"/>
            </w14:solidFill>
          </w14:textFill>
        </w:rPr>
        <w:tab/>
      </w:r>
      <w:r>
        <w:rPr>
          <w:rFonts w:hint="eastAsia"/>
          <w:color w:val="000000" w:themeColor="text1"/>
          <w14:textFill>
            <w14:solidFill>
              <w14:schemeClr w14:val="tx1"/>
            </w14:solidFill>
          </w14:textFill>
        </w:rPr>
        <w:t>注：由于四舍五入原因，各分项占资产总值的比例之和与合计可能存在尾差。</w:t>
      </w:r>
    </w:p>
    <w:p>
      <w:pPr>
        <w:spacing w:before="156" w:beforeLines="50" w:after="156" w:afterLines="50" w:line="360" w:lineRule="auto"/>
        <w:rPr>
          <w:color w:val="000000" w:themeColor="text1"/>
          <w14:textFill>
            <w14:solidFill>
              <w14:schemeClr w14:val="tx1"/>
            </w14:solidFill>
          </w14:textFill>
        </w:rPr>
      </w:pPr>
      <w:r>
        <w:rPr>
          <w:color w:val="000000" w:themeColor="text1"/>
          <w14:textFill>
            <w14:solidFill>
              <w14:schemeClr w14:val="tx1"/>
            </w14:solidFill>
          </w14:textFill>
        </w:rPr>
        <w:t>5.</w:t>
      </w:r>
      <w:r>
        <w:rPr>
          <w:rFonts w:hint="eastAsia"/>
          <w:color w:val="000000" w:themeColor="text1"/>
          <w14:textFill>
            <w14:solidFill>
              <w14:schemeClr w14:val="tx1"/>
            </w14:solidFill>
          </w14:textFill>
        </w:rPr>
        <w:t>2</w:t>
      </w:r>
      <w:r>
        <w:rPr>
          <w:color w:val="000000" w:themeColor="text1"/>
          <w14:textFill>
            <w14:solidFill>
              <w14:schemeClr w14:val="tx1"/>
            </w14:solidFill>
          </w14:textFill>
        </w:rPr>
        <w:t>.2</w:t>
      </w:r>
      <w:r>
        <w:rPr>
          <w:rFonts w:hint="eastAsia"/>
          <w:color w:val="000000" w:themeColor="text1"/>
          <w14:textFill>
            <w14:solidFill>
              <w14:schemeClr w14:val="tx1"/>
            </w14:solidFill>
          </w14:textFill>
        </w:rPr>
        <w:t>期末理财产品间接投资资产组合情况</w:t>
      </w:r>
    </w:p>
    <w:p>
      <w:pPr>
        <w:jc w:val="right"/>
        <w:rPr>
          <w:color w:val="000000" w:themeColor="text1"/>
          <w14:textFill>
            <w14:solidFill>
              <w14:schemeClr w14:val="tx1"/>
            </w14:solidFill>
          </w14:textFill>
        </w:rPr>
      </w:pPr>
    </w:p>
    <w:tbl>
      <w:tblPr>
        <w:tblStyle w:val="11"/>
        <w:tblW w:w="836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3402"/>
        <w:gridCol w:w="2126"/>
        <w:gridCol w:w="2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trPr>
        <w:tc>
          <w:tcPr>
            <w:tcW w:w="709" w:type="dxa"/>
            <w:shd w:val="clear" w:color="auto" w:fill="auto"/>
            <w:vAlign w:val="center"/>
          </w:tcPr>
          <w:p>
            <w:pPr>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序号</w:t>
            </w:r>
          </w:p>
        </w:tc>
        <w:tc>
          <w:tcPr>
            <w:tcW w:w="3402" w:type="dxa"/>
            <w:shd w:val="clear" w:color="auto" w:fill="auto"/>
            <w:vAlign w:val="center"/>
          </w:tcPr>
          <w:p>
            <w:pPr>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项目</w:t>
            </w:r>
          </w:p>
        </w:tc>
        <w:tc>
          <w:tcPr>
            <w:tcW w:w="2126" w:type="dxa"/>
            <w:shd w:val="clear" w:color="auto" w:fill="auto"/>
            <w:vAlign w:val="center"/>
          </w:tcPr>
          <w:p>
            <w:pPr>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金额(元)</w:t>
            </w:r>
          </w:p>
        </w:tc>
        <w:tc>
          <w:tcPr>
            <w:tcW w:w="2127" w:type="dxa"/>
            <w:shd w:val="clear" w:color="auto" w:fill="auto"/>
            <w:vAlign w:val="center"/>
          </w:tcPr>
          <w:p>
            <w:pPr>
              <w:jc w:val="center"/>
              <w:rPr>
                <w:rFonts w:ascii="宋体" w:hAnsi="宋体"/>
                <w:b/>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1</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权益投资</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其中：普通股</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xml:space="preserve">      存托凭证</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2</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基金投资</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3</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固定收益投资</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98,907,199.56</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92.62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其中：债券</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98,863,722.98</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92.58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资产支持证券</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43,476.58</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4</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金融衍生品投资</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其中：远期</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xml:space="preserve">      期货</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xml:space="preserve">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xml:space="preserve">      期权</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xml:space="preserve">      权证</w:t>
            </w:r>
          </w:p>
        </w:tc>
        <w:tc>
          <w:tcPr>
            <w:tcW w:w="2126" w:type="dxa"/>
            <w:shd w:val="clear" w:color="auto" w:fill="auto"/>
            <w:vAlign w:val="center"/>
          </w:tcPr>
          <w:p>
            <w:pPr>
              <w:ind w:right="105"/>
              <w:jc w:val="right"/>
              <w:rPr>
                <w:rFonts w:ascii="宋体" w:hAnsi="宋体"/>
                <w:color w:val="000000" w:themeColor="text1"/>
                <w14:textFill>
                  <w14:solidFill>
                    <w14:schemeClr w14:val="tx1"/>
                  </w14:solidFill>
                </w14:textFill>
              </w:rPr>
            </w:pP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5</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买入返售金融资产</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7,318,620.65</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6.85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其中：买断式回购的买入返售金融资产</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6</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货币市场工具</w:t>
            </w:r>
          </w:p>
        </w:tc>
        <w:tc>
          <w:tcPr>
            <w:tcW w:w="2126" w:type="dxa"/>
            <w:shd w:val="clear" w:color="auto" w:fill="auto"/>
            <w:vAlign w:val="center"/>
          </w:tcPr>
          <w:p>
            <w:pPr>
              <w:ind w:right="105"/>
              <w:jc w:val="right"/>
              <w:rPr>
                <w:rFonts w:ascii="宋体" w:hAnsi="宋体"/>
                <w:color w:val="000000" w:themeColor="text1"/>
                <w14:textFill>
                  <w14:solidFill>
                    <w14:schemeClr w14:val="tx1"/>
                  </w14:solidFill>
                </w14:textFill>
              </w:rPr>
            </w:pP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7</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银行存款和结算备付金合计</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661,025.35</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8</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拆放同业</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9</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资管产品</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ascii="宋体" w:hAnsi="宋体" w:cs="宋体"/>
                <w:color w:val="000000" w:themeColor="text1"/>
                <w:kern w:val="0"/>
                <w:sz w:val="22"/>
                <w:szCs w:val="22"/>
                <w14:textFill>
                  <w14:solidFill>
                    <w14:schemeClr w14:val="tx1"/>
                  </w14:solidFill>
                </w14:textFill>
              </w:rPr>
              <w:t>10</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其他资产</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tcPr>
          <w:p>
            <w:pPr>
              <w:jc w:val="left"/>
              <w:rPr>
                <w:rFonts w:ascii="宋体" w:hAnsi="宋体"/>
                <w:color w:val="000000" w:themeColor="text1"/>
                <w:szCs w:val="21"/>
                <w14:textFill>
                  <w14:solidFill>
                    <w14:schemeClr w14:val="tx1"/>
                  </w14:solidFill>
                </w14:textFill>
              </w:rPr>
            </w:pPr>
          </w:p>
        </w:tc>
        <w:tc>
          <w:tcPr>
            <w:tcW w:w="3402" w:type="dxa"/>
            <w:shd w:val="clear" w:color="auto" w:fill="auto"/>
          </w:tcPr>
          <w:p>
            <w:pPr>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合计</w:t>
            </w:r>
          </w:p>
        </w:tc>
        <w:tc>
          <w:tcPr>
            <w:tcW w:w="2126" w:type="dxa"/>
            <w:shd w:val="clear" w:color="auto" w:fill="auto"/>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106,886,845.56</w:t>
            </w:r>
          </w:p>
        </w:tc>
        <w:tc>
          <w:tcPr>
            <w:tcW w:w="2127" w:type="dxa"/>
            <w:shd w:val="clear" w:color="auto" w:fill="auto"/>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100.09</w:t>
            </w:r>
          </w:p>
        </w:tc>
      </w:tr>
    </w:tbl>
    <w:p>
      <w:pPr>
        <w:spacing w:before="156" w:beforeLines="50" w:after="156" w:afterLines="50" w:line="360" w:lineRule="auto"/>
        <w:rPr>
          <w:color w:val="000000" w:themeColor="text1"/>
          <w14:textFill>
            <w14:solidFill>
              <w14:schemeClr w14:val="tx1"/>
            </w14:solidFill>
          </w14:textFill>
        </w:rPr>
      </w:pPr>
    </w:p>
    <w:p>
      <w:pPr>
        <w:spacing w:before="156" w:beforeLines="50" w:after="156" w:afterLines="50" w:line="36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注：由于四舍五入原因，各分项占资产总值的比例之和与合计可能存在尾差。</w:t>
      </w:r>
    </w:p>
    <w:p>
      <w:pPr>
        <w:spacing w:before="156" w:beforeLines="50" w:after="156" w:afterLines="50" w:line="360" w:lineRule="auto"/>
        <w:rPr>
          <w:color w:val="000000" w:themeColor="text1"/>
          <w14:textFill>
            <w14:solidFill>
              <w14:schemeClr w14:val="tx1"/>
            </w14:solidFill>
          </w14:textFill>
        </w:rPr>
      </w:pPr>
    </w:p>
    <w:p>
      <w:pPr>
        <w:spacing w:before="156" w:beforeLines="50" w:after="156" w:afterLines="50" w:line="360" w:lineRule="auto"/>
        <w:rPr>
          <w:color w:val="000000" w:themeColor="text1"/>
          <w14:textFill>
            <w14:solidFill>
              <w14:schemeClr w14:val="tx1"/>
            </w14:solidFill>
          </w14:textFill>
        </w:rPr>
      </w:pPr>
      <w:r>
        <w:rPr>
          <w:color w:val="000000" w:themeColor="text1"/>
          <w14:textFill>
            <w14:solidFill>
              <w14:schemeClr w14:val="tx1"/>
            </w14:solidFill>
          </w14:textFill>
        </w:rPr>
        <w:t>5.2.</w:t>
      </w:r>
      <w:r>
        <w:rPr>
          <w:rFonts w:hint="eastAsia"/>
          <w:color w:val="000000" w:themeColor="text1"/>
          <w14:textFill>
            <w14:solidFill>
              <w14:schemeClr w14:val="tx1"/>
            </w14:solidFill>
          </w14:textFill>
        </w:rPr>
        <w:t>3期末间接投资前十项持仓资产情况</w:t>
      </w:r>
    </w:p>
    <w:tbl>
      <w:tblPr>
        <w:tblStyle w:val="11"/>
        <w:tblW w:w="9192" w:type="dxa"/>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592"/>
        <w:gridCol w:w="4349"/>
        <w:gridCol w:w="2138"/>
        <w:gridCol w:w="21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805" w:hRule="atLeast"/>
        </w:trPr>
        <w:tc>
          <w:tcPr>
            <w:tcW w:w="592" w:type="dxa"/>
            <w:shd w:val="clear" w:color="auto" w:fill="auto"/>
            <w:vAlign w:val="center"/>
          </w:tcPr>
          <w:p>
            <w:pPr>
              <w:jc w:val="center"/>
              <w:rPr>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序号</w:t>
            </w:r>
          </w:p>
        </w:tc>
        <w:tc>
          <w:tcPr>
            <w:tcW w:w="4349" w:type="dxa"/>
            <w:shd w:val="clear" w:color="auto" w:fill="auto"/>
            <w:vAlign w:val="center"/>
          </w:tcPr>
          <w:p>
            <w:pPr>
              <w:jc w:val="center"/>
              <w:rPr>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项目</w:t>
            </w:r>
          </w:p>
        </w:tc>
        <w:tc>
          <w:tcPr>
            <w:tcW w:w="2138" w:type="dxa"/>
            <w:shd w:val="clear" w:color="auto" w:fill="auto"/>
            <w:vAlign w:val="center"/>
          </w:tcPr>
          <w:p>
            <w:pPr>
              <w:jc w:val="center"/>
              <w:rPr>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金额(元)</w:t>
            </w:r>
          </w:p>
        </w:tc>
        <w:tc>
          <w:tcPr>
            <w:tcW w:w="2113" w:type="dxa"/>
            <w:shd w:val="clear" w:color="auto" w:fill="auto"/>
            <w:vAlign w:val="center"/>
          </w:tcPr>
          <w:p>
            <w:pPr>
              <w:jc w:val="center"/>
              <w:rPr>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1</w:t>
            </w:r>
          </w:p>
        </w:tc>
        <w:tc>
          <w:tcPr>
            <w:tcW w:w="4349" w:type="dxa"/>
            <w:shd w:val="clear" w:color="auto" w:fill="auto"/>
          </w:tcPr>
          <w:p>
            <w:pPr>
              <w:jc w:val="lef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20筑工01</w:t>
            </w:r>
          </w:p>
        </w:tc>
        <w:tc>
          <w:tcPr>
            <w:tcW w:w="2138"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7,171,010.69</w:t>
            </w:r>
          </w:p>
        </w:tc>
        <w:tc>
          <w:tcPr>
            <w:tcW w:w="2113"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6.72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2</w:t>
            </w:r>
          </w:p>
        </w:tc>
        <w:tc>
          <w:tcPr>
            <w:tcW w:w="4349" w:type="dxa"/>
            <w:shd w:val="clear" w:color="auto" w:fill="auto"/>
          </w:tcPr>
          <w:p>
            <w:pPr>
              <w:jc w:val="lef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19贵高科</w:t>
            </w:r>
          </w:p>
        </w:tc>
        <w:tc>
          <w:tcPr>
            <w:tcW w:w="2138"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5,149,379.60</w:t>
            </w:r>
          </w:p>
        </w:tc>
        <w:tc>
          <w:tcPr>
            <w:tcW w:w="2113"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4.82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3</w:t>
            </w:r>
          </w:p>
        </w:tc>
        <w:tc>
          <w:tcPr>
            <w:tcW w:w="4349" w:type="dxa"/>
            <w:shd w:val="clear" w:color="auto" w:fill="auto"/>
          </w:tcPr>
          <w:p>
            <w:pPr>
              <w:jc w:val="lef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20黔交旅投债</w:t>
            </w:r>
          </w:p>
        </w:tc>
        <w:tc>
          <w:tcPr>
            <w:tcW w:w="2138"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4,990,943.00</w:t>
            </w:r>
          </w:p>
        </w:tc>
        <w:tc>
          <w:tcPr>
            <w:tcW w:w="2113"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4.67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4</w:t>
            </w:r>
          </w:p>
        </w:tc>
        <w:tc>
          <w:tcPr>
            <w:tcW w:w="4349" w:type="dxa"/>
            <w:shd w:val="clear" w:color="auto" w:fill="auto"/>
          </w:tcPr>
          <w:p>
            <w:pPr>
              <w:jc w:val="lef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19金凤凰</w:t>
            </w:r>
          </w:p>
        </w:tc>
        <w:tc>
          <w:tcPr>
            <w:tcW w:w="2138"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4,639,432.67</w:t>
            </w:r>
          </w:p>
        </w:tc>
        <w:tc>
          <w:tcPr>
            <w:tcW w:w="2113"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4.34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5</w:t>
            </w:r>
          </w:p>
        </w:tc>
        <w:tc>
          <w:tcPr>
            <w:tcW w:w="4349" w:type="dxa"/>
            <w:shd w:val="clear" w:color="auto" w:fill="auto"/>
          </w:tcPr>
          <w:p>
            <w:pPr>
              <w:jc w:val="lef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19贵合投资债</w:t>
            </w:r>
          </w:p>
        </w:tc>
        <w:tc>
          <w:tcPr>
            <w:tcW w:w="2138"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4,591,848.64</w:t>
            </w:r>
          </w:p>
        </w:tc>
        <w:tc>
          <w:tcPr>
            <w:tcW w:w="2113"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4.30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6</w:t>
            </w:r>
          </w:p>
        </w:tc>
        <w:tc>
          <w:tcPr>
            <w:tcW w:w="4349" w:type="dxa"/>
            <w:shd w:val="clear" w:color="auto" w:fill="auto"/>
          </w:tcPr>
          <w:p>
            <w:pPr>
              <w:jc w:val="lef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21高科专项债01</w:t>
            </w:r>
          </w:p>
        </w:tc>
        <w:tc>
          <w:tcPr>
            <w:tcW w:w="2138"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4,588,931.12</w:t>
            </w:r>
          </w:p>
        </w:tc>
        <w:tc>
          <w:tcPr>
            <w:tcW w:w="2113"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4.30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7</w:t>
            </w:r>
          </w:p>
        </w:tc>
        <w:tc>
          <w:tcPr>
            <w:tcW w:w="4349" w:type="dxa"/>
            <w:shd w:val="clear" w:color="auto" w:fill="auto"/>
          </w:tcPr>
          <w:p>
            <w:pPr>
              <w:jc w:val="lef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20黔西南</w:t>
            </w:r>
          </w:p>
        </w:tc>
        <w:tc>
          <w:tcPr>
            <w:tcW w:w="2138"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4,530,491.63</w:t>
            </w:r>
          </w:p>
        </w:tc>
        <w:tc>
          <w:tcPr>
            <w:tcW w:w="2113"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4.24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8</w:t>
            </w:r>
          </w:p>
        </w:tc>
        <w:tc>
          <w:tcPr>
            <w:tcW w:w="4349" w:type="dxa"/>
            <w:shd w:val="clear" w:color="auto" w:fill="auto"/>
          </w:tcPr>
          <w:p>
            <w:pPr>
              <w:jc w:val="lef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22贴现国债26</w:t>
            </w:r>
          </w:p>
        </w:tc>
        <w:tc>
          <w:tcPr>
            <w:tcW w:w="2138"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4,391,429.45</w:t>
            </w:r>
          </w:p>
        </w:tc>
        <w:tc>
          <w:tcPr>
            <w:tcW w:w="2113"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4.11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9</w:t>
            </w:r>
          </w:p>
        </w:tc>
        <w:tc>
          <w:tcPr>
            <w:tcW w:w="4349" w:type="dxa"/>
            <w:shd w:val="clear" w:color="auto" w:fill="auto"/>
          </w:tcPr>
          <w:p>
            <w:pPr>
              <w:jc w:val="lef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21哈尔滨银行永续债02</w:t>
            </w:r>
          </w:p>
        </w:tc>
        <w:tc>
          <w:tcPr>
            <w:tcW w:w="2138"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4,290,410.65</w:t>
            </w:r>
          </w:p>
        </w:tc>
        <w:tc>
          <w:tcPr>
            <w:tcW w:w="2113"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4.02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10</w:t>
            </w:r>
          </w:p>
        </w:tc>
        <w:tc>
          <w:tcPr>
            <w:tcW w:w="4349" w:type="dxa"/>
            <w:shd w:val="clear" w:color="auto" w:fill="auto"/>
          </w:tcPr>
          <w:p>
            <w:pPr>
              <w:jc w:val="lef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19佳源03</w:t>
            </w:r>
          </w:p>
        </w:tc>
        <w:tc>
          <w:tcPr>
            <w:tcW w:w="2138"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4,054,652.58</w:t>
            </w:r>
          </w:p>
        </w:tc>
        <w:tc>
          <w:tcPr>
            <w:tcW w:w="2113"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3.80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000000" w:themeColor="text1"/>
                <w:szCs w:val="21"/>
                <w14:textFill>
                  <w14:solidFill>
                    <w14:schemeClr w14:val="tx1"/>
                  </w14:solidFill>
                </w14:textFill>
              </w:rPr>
            </w:pPr>
          </w:p>
        </w:tc>
        <w:tc>
          <w:tcPr>
            <w:tcW w:w="4349" w:type="dxa"/>
            <w:shd w:val="clear" w:color="auto" w:fill="auto"/>
          </w:tcPr>
          <w:p>
            <w:pPr>
              <w:jc w:val="lef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合计</w:t>
            </w:r>
          </w:p>
        </w:tc>
        <w:tc>
          <w:tcPr>
            <w:tcW w:w="2138"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48,398,530.03</w:t>
            </w:r>
          </w:p>
        </w:tc>
        <w:tc>
          <w:tcPr>
            <w:tcW w:w="2113"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45.32</w:t>
            </w:r>
          </w:p>
        </w:tc>
      </w:tr>
    </w:tbl>
    <w:p>
      <w:pPr>
        <w:spacing w:before="156" w:beforeLines="50" w:after="156" w:afterLines="50" w:line="360" w:lineRule="auto"/>
        <w:rPr>
          <w:color w:val="000000" w:themeColor="text1"/>
          <w14:textFill>
            <w14:solidFill>
              <w14:schemeClr w14:val="tx1"/>
            </w14:solidFill>
          </w14:textFill>
        </w:rPr>
      </w:pPr>
      <w:r>
        <w:rPr>
          <w:color w:val="000000" w:themeColor="text1"/>
          <w14:textFill>
            <w14:solidFill>
              <w14:schemeClr w14:val="tx1"/>
            </w14:solidFill>
          </w14:textFill>
        </w:rPr>
        <w:tab/>
      </w:r>
      <w:r>
        <w:rPr>
          <w:rFonts w:hint="eastAsia"/>
          <w:color w:val="000000" w:themeColor="text1"/>
          <w14:textFill>
            <w14:solidFill>
              <w14:schemeClr w14:val="tx1"/>
            </w14:solidFill>
          </w14:textFill>
        </w:rPr>
        <w:t>注：由于四舍五入原因，各分项占资产总值的比例之和与合计可能存在尾差。</w:t>
      </w:r>
    </w:p>
    <w:p>
      <w:pPr>
        <w:spacing w:before="156" w:beforeLines="50" w:after="156" w:afterLines="50" w:line="360" w:lineRule="auto"/>
        <w:rPr>
          <w:color w:val="000000" w:themeColor="text1"/>
          <w14:textFill>
            <w14:solidFill>
              <w14:schemeClr w14:val="tx1"/>
            </w14:solidFill>
          </w14:textFill>
        </w:rPr>
      </w:pPr>
    </w:p>
    <w:p>
      <w:pPr>
        <w:spacing w:before="156" w:beforeLines="50" w:after="156" w:afterLines="50" w:line="360" w:lineRule="auto"/>
        <w:rPr>
          <w:b/>
          <w:color w:val="000000" w:themeColor="text1"/>
          <w14:textFill>
            <w14:solidFill>
              <w14:schemeClr w14:val="tx1"/>
            </w14:solidFill>
          </w14:textFill>
        </w:rPr>
      </w:pPr>
      <w:r>
        <w:rPr>
          <w:b/>
          <w:color w:val="000000" w:themeColor="text1"/>
          <w14:textFill>
            <w14:solidFill>
              <w14:schemeClr w14:val="tx1"/>
            </w14:solidFill>
          </w14:textFill>
        </w:rPr>
        <w:t>5.3</w:t>
      </w:r>
      <w:r>
        <w:rPr>
          <w:rFonts w:hint="eastAsia"/>
          <w:b/>
          <w:color w:val="000000" w:themeColor="text1"/>
          <w14:textFill>
            <w14:solidFill>
              <w14:schemeClr w14:val="tx1"/>
            </w14:solidFill>
          </w14:textFill>
        </w:rPr>
        <w:t>所投资非标准化债权类资产情况</w:t>
      </w:r>
    </w:p>
    <w:p>
      <w:pPr>
        <w:spacing w:before="156" w:beforeLines="50" w:after="156" w:afterLines="50" w:line="360" w:lineRule="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ab/>
      </w:r>
      <w:r>
        <w:rPr>
          <w:rFonts w:ascii="宋体" w:hAnsi="宋体"/>
          <w:color w:val="000000" w:themeColor="text1"/>
          <w:szCs w:val="21"/>
          <w14:textFill>
            <w14:solidFill>
              <w14:schemeClr w14:val="tx1"/>
            </w14:solidFill>
          </w14:textFill>
        </w:rPr>
        <w:t>本报告期内，本理财计划未投资非标准化债权类资产。</w:t>
      </w:r>
    </w:p>
    <w:p>
      <w:pPr>
        <w:spacing w:before="156" w:beforeLines="50" w:after="156" w:afterLines="50" w:line="360" w:lineRule="auto"/>
        <w:rPr>
          <w:b/>
          <w:color w:val="000000" w:themeColor="text1"/>
          <w14:textFill>
            <w14:solidFill>
              <w14:schemeClr w14:val="tx1"/>
            </w14:solidFill>
          </w14:textFill>
        </w:rPr>
      </w:pPr>
    </w:p>
    <w:p>
      <w:pPr>
        <w:spacing w:before="156" w:beforeLines="50" w:after="156" w:afterLines="50" w:line="360" w:lineRule="auto"/>
        <w:rPr>
          <w:b/>
          <w:color w:val="000000" w:themeColor="text1"/>
          <w14:textFill>
            <w14:solidFill>
              <w14:schemeClr w14:val="tx1"/>
            </w14:solidFill>
          </w14:textFill>
        </w:rPr>
      </w:pPr>
      <w:r>
        <w:rPr>
          <w:b/>
          <w:color w:val="000000" w:themeColor="text1"/>
          <w14:textFill>
            <w14:solidFill>
              <w14:schemeClr w14:val="tx1"/>
            </w14:solidFill>
          </w14:textFill>
        </w:rPr>
        <w:t>5.4</w:t>
      </w:r>
      <w:r>
        <w:rPr>
          <w:rFonts w:hint="eastAsia"/>
          <w:b/>
          <w:color w:val="000000" w:themeColor="text1"/>
          <w14:textFill>
            <w14:solidFill>
              <w14:schemeClr w14:val="tx1"/>
            </w14:solidFill>
          </w14:textFill>
        </w:rPr>
        <w:t>投资组合的流动性风险分析</w:t>
      </w:r>
    </w:p>
    <w:p>
      <w:pPr>
        <w:spacing w:before="156" w:beforeLines="50" w:after="156" w:afterLines="50" w:line="360" w:lineRule="atLeast"/>
        <w:ind w:firstLine="420" w:firstLineChars="200"/>
        <w:rPr>
          <w:rFonts w:ascii="宋体"/>
          <w:color w:val="000000" w:themeColor="text1"/>
          <w14:textFill>
            <w14:solidFill>
              <w14:schemeClr w14:val="tx1"/>
            </w14:solidFill>
          </w14:textFill>
        </w:rPr>
      </w:pPr>
      <w:r>
        <w:rPr>
          <w:rFonts w:hint="eastAsia" w:ascii="宋体"/>
          <w:color w:val="000000" w:themeColor="text1"/>
          <w14:textFill>
            <w14:solidFill>
              <w14:schemeClr w14:val="tx1"/>
            </w14:solidFill>
          </w14:textFill>
        </w:rPr>
        <w:t>流动性风险是指因市场内部和外部的原因造成理财产品所持金融工具变现的难易程度，如果持有资产不能迅速变成现金，或者变现时对理财产品净值产生冲击成本，都会影响资产运作和收益水平。尤其是在资产委托人进行大额退出申请时，如果资产管理计划变现能力差，可能会产生资产管理计划财产调整的困难，导致流动性风险，从而影响资产管理计划财产收益。本产品为封闭式理财产品，资产配置主要包括现金、同业回购等货币市场工具、债券和基金等满足安全性和流动性要求的金融产品，具有较好的流动性，可变现能力较强。此外，我行在报告期内对持有债券及整体组合进行市值分析，根据市场行情调整投资方案和具体的交易策略，降低外部事件对我行投资组合的流动性风险。</w:t>
      </w:r>
    </w:p>
    <w:p>
      <w:pPr>
        <w:spacing w:before="156" w:beforeLines="50" w:after="156" w:afterLines="50" w:line="360" w:lineRule="atLeast"/>
        <w:ind w:firstLine="420" w:firstLineChars="200"/>
        <w:rPr>
          <w:rFonts w:ascii="宋体"/>
          <w:color w:val="000000" w:themeColor="text1"/>
          <w14:textFill>
            <w14:solidFill>
              <w14:schemeClr w14:val="tx1"/>
            </w14:solidFill>
          </w14:textFill>
        </w:rPr>
      </w:pPr>
      <w:r>
        <w:rPr>
          <w:rFonts w:hint="eastAsia" w:ascii="宋体"/>
          <w:color w:val="000000" w:themeColor="text1"/>
          <w14:textFill>
            <w14:solidFill>
              <w14:schemeClr w14:val="tx1"/>
            </w14:solidFill>
          </w14:textFill>
        </w:rPr>
        <w:t xml:space="preserve"> </w:t>
      </w:r>
    </w:p>
    <w:p>
      <w:pPr>
        <w:spacing w:before="156" w:beforeLines="50" w:after="156" w:afterLines="50" w:line="360" w:lineRule="auto"/>
        <w:jc w:val="center"/>
        <w:rPr>
          <w:color w:val="000000" w:themeColor="text1"/>
          <w14:textFill>
            <w14:solidFill>
              <w14:schemeClr w14:val="tx1"/>
            </w14:solidFill>
          </w14:textFill>
        </w:rPr>
      </w:pPr>
      <w:r>
        <w:rPr>
          <w:rFonts w:hint="eastAsia" w:asciiTheme="minorEastAsia" w:hAnsiTheme="minorEastAsia" w:eastAsiaTheme="minorEastAsia"/>
          <w:b/>
          <w:color w:val="000000" w:themeColor="text1"/>
          <w:sz w:val="24"/>
          <w:szCs w:val="24"/>
          <w14:textFill>
            <w14:solidFill>
              <w14:schemeClr w14:val="tx1"/>
            </w14:solidFill>
          </w14:textFill>
        </w:rPr>
        <w:t>§</w:t>
      </w:r>
      <w:r>
        <w:rPr>
          <w:rFonts w:asciiTheme="minorEastAsia" w:hAnsiTheme="minorEastAsia" w:eastAsiaTheme="minorEastAsia"/>
          <w:b/>
          <w:color w:val="000000" w:themeColor="text1"/>
          <w:sz w:val="24"/>
          <w:szCs w:val="24"/>
          <w14:textFill>
            <w14:solidFill>
              <w14:schemeClr w14:val="tx1"/>
            </w14:solidFill>
          </w14:textFill>
        </w:rPr>
        <w:t>6</w:t>
      </w:r>
      <w:r>
        <w:rPr>
          <w:rFonts w:hint="eastAsia" w:asciiTheme="minorEastAsia" w:hAnsiTheme="minorEastAsia" w:eastAsiaTheme="minorEastAsia"/>
          <w:b/>
          <w:color w:val="000000" w:themeColor="text1"/>
          <w:sz w:val="24"/>
          <w:szCs w:val="24"/>
          <w14:textFill>
            <w14:solidFill>
              <w14:schemeClr w14:val="tx1"/>
            </w14:solidFill>
          </w14:textFill>
        </w:rPr>
        <w:t xml:space="preserve"> 关联交易情况说明</w:t>
      </w:r>
    </w:p>
    <w:p>
      <w:pPr>
        <w:rPr>
          <w:color w:val="000000" w:themeColor="text1"/>
          <w14:textFill>
            <w14:solidFill>
              <w14:schemeClr w14:val="tx1"/>
            </w14:solidFill>
          </w14:textFill>
        </w:rPr>
      </w:pPr>
      <w:r>
        <w:rPr>
          <w:rFonts w:hint="eastAsia" w:ascii="宋体"/>
          <w:color w:val="000000" w:themeColor="text1"/>
          <w14:textFill>
            <w14:solidFill>
              <w14:schemeClr w14:val="tx1"/>
            </w14:solidFill>
          </w14:textFill>
        </w:rPr>
        <w:tab/>
      </w:r>
      <w:r>
        <w:rPr>
          <w:rFonts w:hint="eastAsia" w:ascii="宋体"/>
          <w:color w:val="000000" w:themeColor="text1"/>
          <w14:textFill>
            <w14:solidFill>
              <w14:schemeClr w14:val="tx1"/>
            </w14:solidFill>
          </w14:textFill>
        </w:rPr>
        <w:t>本报告期内，本计划未发生关联交易。</w:t>
      </w:r>
    </w:p>
    <w:p>
      <w:pPr>
        <w:spacing w:line="360" w:lineRule="auto"/>
        <w:rPr>
          <w:color w:val="000000" w:themeColor="text1"/>
          <w14:textFill>
            <w14:solidFill>
              <w14:schemeClr w14:val="tx1"/>
            </w14:solidFill>
          </w14:textFill>
        </w:rPr>
      </w:pPr>
    </w:p>
    <w:p>
      <w:pPr>
        <w:spacing w:before="156" w:beforeLines="50" w:after="156" w:afterLines="50" w:line="360" w:lineRule="auto"/>
        <w:jc w:val="center"/>
        <w:rPr>
          <w:color w:val="000000" w:themeColor="text1"/>
          <w14:textFill>
            <w14:solidFill>
              <w14:schemeClr w14:val="tx1"/>
            </w14:solidFill>
          </w14:textFill>
        </w:rPr>
      </w:pPr>
      <w:r>
        <w:rPr>
          <w:rFonts w:hint="eastAsia" w:asciiTheme="minorEastAsia" w:hAnsiTheme="minorEastAsia" w:eastAsiaTheme="minorEastAsia"/>
          <w:b/>
          <w:color w:val="000000" w:themeColor="text1"/>
          <w:sz w:val="24"/>
          <w:szCs w:val="24"/>
          <w14:textFill>
            <w14:solidFill>
              <w14:schemeClr w14:val="tx1"/>
            </w14:solidFill>
          </w14:textFill>
        </w:rPr>
        <w:t>§</w:t>
      </w:r>
      <w:r>
        <w:rPr>
          <w:rFonts w:asciiTheme="minorEastAsia" w:hAnsiTheme="minorEastAsia" w:eastAsiaTheme="minorEastAsia"/>
          <w:b/>
          <w:color w:val="000000" w:themeColor="text1"/>
          <w:sz w:val="24"/>
          <w:szCs w:val="24"/>
          <w14:textFill>
            <w14:solidFill>
              <w14:schemeClr w14:val="tx1"/>
            </w14:solidFill>
          </w14:textFill>
        </w:rPr>
        <w:t>7</w:t>
      </w:r>
      <w:r>
        <w:rPr>
          <w:rFonts w:hint="eastAsia" w:asciiTheme="minorEastAsia" w:hAnsiTheme="minorEastAsia" w:eastAsiaTheme="minorEastAsia"/>
          <w:b/>
          <w:color w:val="000000" w:themeColor="text1"/>
          <w:sz w:val="24"/>
          <w:szCs w:val="24"/>
          <w14:textFill>
            <w14:solidFill>
              <w14:schemeClr w14:val="tx1"/>
            </w14:solidFill>
          </w14:textFill>
        </w:rPr>
        <w:t xml:space="preserve"> 影响投资者决策的其他重要信息</w:t>
      </w:r>
    </w:p>
    <w:p>
      <w:pPr>
        <w:spacing w:line="360" w:lineRule="auto"/>
        <w:rPr>
          <w:color w:val="000000" w:themeColor="text1"/>
          <w14:textFill>
            <w14:solidFill>
              <w14:schemeClr w14:val="tx1"/>
            </w14:solidFill>
          </w14:textFill>
        </w:rPr>
      </w:pPr>
      <w:r>
        <w:rPr>
          <w:color w:val="000000" w:themeColor="text1"/>
          <w14:textFill>
            <w14:solidFill>
              <w14:schemeClr w14:val="tx1"/>
            </w14:solidFill>
          </w14:textFill>
        </w:rPr>
        <w:t>7.1 影响投资者决策的其他重要信息</w:t>
      </w:r>
    </w:p>
    <w:p>
      <w:pPr>
        <w:spacing w:line="360" w:lineRule="auto"/>
        <w:rPr>
          <w:color w:val="000000" w:themeColor="text1"/>
          <w14:textFill>
            <w14:solidFill>
              <w14:schemeClr w14:val="tx1"/>
            </w14:solidFill>
          </w14:textFill>
        </w:rPr>
      </w:pPr>
      <w:r>
        <w:rPr>
          <w:color w:val="000000" w:themeColor="text1"/>
          <w14:textFill>
            <w14:solidFill>
              <w14:schemeClr w14:val="tx1"/>
            </w14:solidFill>
          </w14:textFill>
        </w:rPr>
        <w:t>无。</w:t>
      </w:r>
    </w:p>
    <w:p>
      <w:pPr>
        <w:spacing w:line="360" w:lineRule="auto"/>
        <w:rPr>
          <w:color w:val="000000" w:themeColor="text1"/>
          <w14:textFill>
            <w14:solidFill>
              <w14:schemeClr w14:val="tx1"/>
            </w14:solidFill>
          </w14:textFill>
        </w:rPr>
      </w:pPr>
    </w:p>
    <w:p>
      <w:pPr>
        <w:spacing w:line="360" w:lineRule="auto"/>
        <w:rPr>
          <w:color w:val="000000" w:themeColor="text1"/>
          <w14:textFill>
            <w14:solidFill>
              <w14:schemeClr w14:val="tx1"/>
            </w14:solidFill>
          </w14:textFill>
        </w:rPr>
      </w:pPr>
      <w:r>
        <w:rPr>
          <w:color w:val="000000" w:themeColor="text1"/>
          <w14:textFill>
            <w14:solidFill>
              <w14:schemeClr w14:val="tx1"/>
            </w14:solidFill>
          </w14:textFill>
        </w:rPr>
        <w:t>7.2其他事项。</w:t>
      </w:r>
    </w:p>
    <w:p>
      <w:pPr>
        <w:spacing w:line="360" w:lineRule="auto"/>
        <w:rPr>
          <w:color w:val="000000" w:themeColor="text1"/>
          <w14:textFill>
            <w14:solidFill>
              <w14:schemeClr w14:val="tx1"/>
            </w14:solidFill>
          </w14:textFill>
        </w:rPr>
      </w:pPr>
      <w:r>
        <w:rPr>
          <w:color w:val="000000" w:themeColor="text1"/>
          <w14:textFill>
            <w14:solidFill>
              <w14:schemeClr w14:val="tx1"/>
            </w14:solidFill>
          </w14:textFill>
        </w:rPr>
        <w:t>无。</w:t>
      </w:r>
    </w:p>
    <w:p>
      <w:pPr>
        <w:spacing w:before="156" w:beforeLines="50" w:after="156" w:afterLines="50" w:line="360" w:lineRule="auto"/>
        <w:jc w:val="center"/>
        <w:rPr>
          <w:rFonts w:asciiTheme="minorEastAsia" w:hAnsiTheme="minorEastAsia" w:eastAsiaTheme="minorEastAsia"/>
          <w:b/>
          <w:color w:val="000000" w:themeColor="text1"/>
          <w:sz w:val="24"/>
          <w:szCs w:val="24"/>
          <w14:textFill>
            <w14:solidFill>
              <w14:schemeClr w14:val="tx1"/>
            </w14:solidFill>
          </w14:textFill>
        </w:rPr>
      </w:pPr>
      <w:r>
        <w:rPr>
          <w:rFonts w:hint="eastAsia" w:asciiTheme="minorEastAsia" w:hAnsiTheme="minorEastAsia" w:eastAsiaTheme="minorEastAsia"/>
          <w:b/>
          <w:color w:val="000000" w:themeColor="text1"/>
          <w:sz w:val="24"/>
          <w:szCs w:val="24"/>
          <w14:textFill>
            <w14:solidFill>
              <w14:schemeClr w14:val="tx1"/>
            </w14:solidFill>
          </w14:textFill>
        </w:rPr>
        <w:t>§</w:t>
      </w:r>
      <w:r>
        <w:rPr>
          <w:rFonts w:asciiTheme="minorEastAsia" w:hAnsiTheme="minorEastAsia" w:eastAsiaTheme="minorEastAsia"/>
          <w:b/>
          <w:color w:val="000000" w:themeColor="text1"/>
          <w:sz w:val="24"/>
          <w:szCs w:val="24"/>
          <w14:textFill>
            <w14:solidFill>
              <w14:schemeClr w14:val="tx1"/>
            </w14:solidFill>
          </w14:textFill>
        </w:rPr>
        <w:t>8</w:t>
      </w:r>
      <w:r>
        <w:rPr>
          <w:rFonts w:hint="eastAsia" w:asciiTheme="minorEastAsia" w:hAnsiTheme="minorEastAsia" w:eastAsiaTheme="minorEastAsia"/>
          <w:b/>
          <w:color w:val="000000" w:themeColor="text1"/>
          <w:sz w:val="24"/>
          <w:szCs w:val="24"/>
          <w14:textFill>
            <w14:solidFill>
              <w14:schemeClr w14:val="tx1"/>
            </w14:solidFill>
          </w14:textFill>
        </w:rPr>
        <w:t xml:space="preserve"> 托管人报告</w:t>
      </w:r>
    </w:p>
    <w:p>
      <w:pPr>
        <w:spacing w:line="360" w:lineRule="auto"/>
        <w:ind w:right="-107" w:rightChars="-51" w:firstLine="420" w:firstLineChars="200"/>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招商银行具备完善的公司治理结构、内部稽核监控制度和风险控制制度，我行在履行托管职责中，严格遵守有关法律法规、托管协议的规定，尽职尽责地履行托管义务并安全保管托管资产。</w:t>
      </w:r>
    </w:p>
    <w:p>
      <w:pPr>
        <w:spacing w:line="360" w:lineRule="auto"/>
        <w:rPr>
          <w:color w:val="000000" w:themeColor="text1"/>
          <w14:textFill>
            <w14:solidFill>
              <w14:schemeClr w14:val="tx1"/>
            </w14:solidFill>
          </w14:textFill>
        </w:rPr>
      </w:pPr>
    </w:p>
    <w:p>
      <w:pPr>
        <w:spacing w:line="360" w:lineRule="auto"/>
        <w:rPr>
          <w:color w:val="000000" w:themeColor="text1"/>
          <w14:textFill>
            <w14:solidFill>
              <w14:schemeClr w14:val="tx1"/>
            </w14:solidFill>
          </w14:textFill>
        </w:rPr>
      </w:pPr>
    </w:p>
    <w:p>
      <w:pPr>
        <w:spacing w:line="360" w:lineRule="auto"/>
        <w:rPr>
          <w:color w:val="000000" w:themeColor="text1"/>
          <w14:textFill>
            <w14:solidFill>
              <w14:schemeClr w14:val="tx1"/>
            </w14:solidFill>
          </w14:textFill>
        </w:rPr>
      </w:pPr>
      <w:r>
        <w:rPr>
          <w:color w:val="000000" w:themeColor="text1"/>
          <w14:textFill>
            <w14:solidFill>
              <w14:schemeClr w14:val="tx1"/>
            </w14:solidFill>
          </w14:textFill>
        </w:rPr>
        <w:t>查阅方式网站：http://www.gynsh.com咨询电话：0851-88115057</w:t>
      </w:r>
    </w:p>
    <w:p>
      <w:pPr>
        <w:spacing w:line="360" w:lineRule="auto"/>
        <w:jc w:val="right"/>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贵阳农村商业银行股份有限公司</w:t>
      </w:r>
    </w:p>
    <w:p>
      <w:pPr>
        <w:spacing w:line="360" w:lineRule="auto"/>
        <w:jc w:val="right"/>
        <w:rPr>
          <w:rFonts w:ascii="宋体" w:hAnsi="宋体"/>
          <w:color w:val="000000" w:themeColor="text1"/>
          <w:szCs w:val="21"/>
          <w14:textFill>
            <w14:solidFill>
              <w14:schemeClr w14:val="tx1"/>
            </w14:solidFill>
          </w14:textFill>
        </w:rPr>
      </w:pPr>
      <w:bookmarkStart w:id="9" w:name="OLE_LINK11"/>
      <w:bookmarkStart w:id="10" w:name="OLE_LINK10"/>
      <w:r>
        <w:rPr>
          <w:rFonts w:ascii="宋体" w:hAnsi="宋体"/>
          <w:color w:val="000000" w:themeColor="text1"/>
          <w:szCs w:val="21"/>
          <w14:textFill>
            <w14:solidFill>
              <w14:schemeClr w14:val="tx1"/>
            </w14:solidFill>
          </w14:textFill>
        </w:rPr>
        <w:t>2022年0</w:t>
      </w:r>
      <w:r>
        <w:rPr>
          <w:rFonts w:hint="eastAsia" w:ascii="宋体" w:hAnsi="宋体"/>
          <w:color w:val="000000" w:themeColor="text1"/>
          <w:szCs w:val="21"/>
          <w:lang w:val="en-US" w:eastAsia="zh-CN"/>
          <w14:textFill>
            <w14:solidFill>
              <w14:schemeClr w14:val="tx1"/>
            </w14:solidFill>
          </w14:textFill>
        </w:rPr>
        <w:t>7</w:t>
      </w:r>
      <w:r>
        <w:rPr>
          <w:rFonts w:ascii="宋体" w:hAnsi="宋体"/>
          <w:color w:val="000000" w:themeColor="text1"/>
          <w:szCs w:val="21"/>
          <w14:textFill>
            <w14:solidFill>
              <w14:schemeClr w14:val="tx1"/>
            </w14:solidFill>
          </w14:textFill>
        </w:rPr>
        <w:t>月</w:t>
      </w:r>
      <w:r>
        <w:rPr>
          <w:rFonts w:hint="eastAsia" w:ascii="宋体" w:hAnsi="宋体"/>
          <w:color w:val="000000" w:themeColor="text1"/>
          <w:szCs w:val="21"/>
          <w:lang w:val="en-US" w:eastAsia="zh-CN"/>
          <w14:textFill>
            <w14:solidFill>
              <w14:schemeClr w14:val="tx1"/>
            </w14:solidFill>
          </w14:textFill>
        </w:rPr>
        <w:t>15</w:t>
      </w:r>
      <w:bookmarkStart w:id="11" w:name="_GoBack"/>
      <w:bookmarkEnd w:id="11"/>
      <w:r>
        <w:rPr>
          <w:rFonts w:ascii="宋体" w:hAnsi="宋体"/>
          <w:color w:val="000000" w:themeColor="text1"/>
          <w:szCs w:val="21"/>
          <w14:textFill>
            <w14:solidFill>
              <w14:schemeClr w14:val="tx1"/>
            </w14:solidFill>
          </w14:textFill>
        </w:rPr>
        <w:t>日</w:t>
      </w:r>
      <w:bookmarkEnd w:id="9"/>
      <w:bookmarkEnd w:id="10"/>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微软雅黑">
    <w:panose1 w:val="020B0503020204020204"/>
    <w:charset w:val="86"/>
    <w:family w:val="swiss"/>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w:pict>
        <v:shape id="PowerPlusWaterMarkObject14628" o:spid="_x0000_s2049" o:spt="136" type="#_x0000_t136" style="position:absolute;left:0pt;height:104.95pt;width:482.3pt;mso-position-horizontal:center;mso-position-horizontal-relative:margin;mso-position-vertical:center;mso-position-vertical-relative:margin;rotation:-2949120f;z-index:-251657216;mso-width-relative:page;mso-height-relative:page;" fillcolor="#C0C0C0" filled="t" stroked="f" coordsize="21600,21600" adj="10800">
          <v:path/>
          <v:fill on="t" opacity="32768f" focussize="0,0"/>
          <v:stroke on="f"/>
          <v:imagedata o:title=""/>
          <o:lock v:ext="edit" aspectratio="t"/>
          <v:textpath on="t" fitshape="t" fitpath="t" trim="t" xscale="f" string="贵阳农商银行" style="font-family:微软雅黑;font-size:36pt;v-same-letter-heights:f;v-text-align:center;"/>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dit="readOnly" w:enforcement="1" w:cryptProviderType="rsaFull" w:cryptAlgorithmClass="hash" w:cryptAlgorithmType="typeAny" w:cryptAlgorithmSid="4" w:cryptSpinCount="0" w:hash="bY3/23ZmC4/grrOQ384duCQbOxY=" w:salt="gkTIfvR3xedihpwxuklUGQ=="/>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2NhZGZkNjgyYjg3OGZhZGE1MmQ1ZTg4OWZlMTAzYzYifQ=="/>
  </w:docVars>
  <w:rsids>
    <w:rsidRoot w:val="0088229F"/>
    <w:rsid w:val="000016F0"/>
    <w:rsid w:val="000019DD"/>
    <w:rsid w:val="00015FAD"/>
    <w:rsid w:val="00027C01"/>
    <w:rsid w:val="00030234"/>
    <w:rsid w:val="00030D78"/>
    <w:rsid w:val="000420CB"/>
    <w:rsid w:val="00051A5E"/>
    <w:rsid w:val="00051F66"/>
    <w:rsid w:val="000841F1"/>
    <w:rsid w:val="00091C41"/>
    <w:rsid w:val="000A071D"/>
    <w:rsid w:val="000B1DF6"/>
    <w:rsid w:val="000D2B57"/>
    <w:rsid w:val="000D55B2"/>
    <w:rsid w:val="000E7CE6"/>
    <w:rsid w:val="00107817"/>
    <w:rsid w:val="00126D1F"/>
    <w:rsid w:val="00154BFD"/>
    <w:rsid w:val="00183822"/>
    <w:rsid w:val="001A7E08"/>
    <w:rsid w:val="001C3FD1"/>
    <w:rsid w:val="001C5AB6"/>
    <w:rsid w:val="001D4A06"/>
    <w:rsid w:val="001D65A6"/>
    <w:rsid w:val="00201555"/>
    <w:rsid w:val="00203DE0"/>
    <w:rsid w:val="002173B4"/>
    <w:rsid w:val="002173D7"/>
    <w:rsid w:val="002271D8"/>
    <w:rsid w:val="002339B0"/>
    <w:rsid w:val="00237338"/>
    <w:rsid w:val="002406B1"/>
    <w:rsid w:val="0026096E"/>
    <w:rsid w:val="002844EB"/>
    <w:rsid w:val="00284894"/>
    <w:rsid w:val="002868DE"/>
    <w:rsid w:val="00287831"/>
    <w:rsid w:val="00287DC8"/>
    <w:rsid w:val="00290E89"/>
    <w:rsid w:val="00292EB2"/>
    <w:rsid w:val="00295FB9"/>
    <w:rsid w:val="002B02CF"/>
    <w:rsid w:val="002C36FC"/>
    <w:rsid w:val="002D2A83"/>
    <w:rsid w:val="002D5C47"/>
    <w:rsid w:val="002D5DC1"/>
    <w:rsid w:val="002E0CAF"/>
    <w:rsid w:val="002E2473"/>
    <w:rsid w:val="002F2CDE"/>
    <w:rsid w:val="003030A1"/>
    <w:rsid w:val="00332BF6"/>
    <w:rsid w:val="00345138"/>
    <w:rsid w:val="00347B23"/>
    <w:rsid w:val="00357D78"/>
    <w:rsid w:val="00383097"/>
    <w:rsid w:val="00383F8D"/>
    <w:rsid w:val="003862F3"/>
    <w:rsid w:val="003962BF"/>
    <w:rsid w:val="003A233F"/>
    <w:rsid w:val="003C0D70"/>
    <w:rsid w:val="003F11E9"/>
    <w:rsid w:val="0040185E"/>
    <w:rsid w:val="00416640"/>
    <w:rsid w:val="004249DF"/>
    <w:rsid w:val="00425A8D"/>
    <w:rsid w:val="004276F4"/>
    <w:rsid w:val="00456DD0"/>
    <w:rsid w:val="004725E7"/>
    <w:rsid w:val="00477D60"/>
    <w:rsid w:val="00483E7F"/>
    <w:rsid w:val="00494EE4"/>
    <w:rsid w:val="004C51C7"/>
    <w:rsid w:val="004E4337"/>
    <w:rsid w:val="005006CE"/>
    <w:rsid w:val="0050305E"/>
    <w:rsid w:val="005030C6"/>
    <w:rsid w:val="00531FE9"/>
    <w:rsid w:val="005411B2"/>
    <w:rsid w:val="00553420"/>
    <w:rsid w:val="00571FC5"/>
    <w:rsid w:val="0057503F"/>
    <w:rsid w:val="00581537"/>
    <w:rsid w:val="00587297"/>
    <w:rsid w:val="005A3474"/>
    <w:rsid w:val="005C161C"/>
    <w:rsid w:val="005D6CCB"/>
    <w:rsid w:val="005D790B"/>
    <w:rsid w:val="005F2112"/>
    <w:rsid w:val="005F441A"/>
    <w:rsid w:val="005F62A5"/>
    <w:rsid w:val="0063629A"/>
    <w:rsid w:val="00645054"/>
    <w:rsid w:val="006451EF"/>
    <w:rsid w:val="00646CFC"/>
    <w:rsid w:val="00653D36"/>
    <w:rsid w:val="00667327"/>
    <w:rsid w:val="006A1341"/>
    <w:rsid w:val="006B2602"/>
    <w:rsid w:val="006B5565"/>
    <w:rsid w:val="006C22D1"/>
    <w:rsid w:val="006E607A"/>
    <w:rsid w:val="00702058"/>
    <w:rsid w:val="00712AEC"/>
    <w:rsid w:val="00726F60"/>
    <w:rsid w:val="00742837"/>
    <w:rsid w:val="00762513"/>
    <w:rsid w:val="00767B2A"/>
    <w:rsid w:val="00780405"/>
    <w:rsid w:val="0078617B"/>
    <w:rsid w:val="00786475"/>
    <w:rsid w:val="007901B6"/>
    <w:rsid w:val="007948E4"/>
    <w:rsid w:val="007B0C45"/>
    <w:rsid w:val="007C435E"/>
    <w:rsid w:val="007C5664"/>
    <w:rsid w:val="007D5CDC"/>
    <w:rsid w:val="007F0C0F"/>
    <w:rsid w:val="00804B54"/>
    <w:rsid w:val="00814183"/>
    <w:rsid w:val="00825FC3"/>
    <w:rsid w:val="00854720"/>
    <w:rsid w:val="0086104D"/>
    <w:rsid w:val="00877FC5"/>
    <w:rsid w:val="0088229F"/>
    <w:rsid w:val="00883B68"/>
    <w:rsid w:val="00894A82"/>
    <w:rsid w:val="00895911"/>
    <w:rsid w:val="008A542C"/>
    <w:rsid w:val="008B7B35"/>
    <w:rsid w:val="008C5DB1"/>
    <w:rsid w:val="008E26E4"/>
    <w:rsid w:val="008E5482"/>
    <w:rsid w:val="008E6772"/>
    <w:rsid w:val="008F796E"/>
    <w:rsid w:val="00900D24"/>
    <w:rsid w:val="00902332"/>
    <w:rsid w:val="00920C08"/>
    <w:rsid w:val="00943B76"/>
    <w:rsid w:val="00963A2D"/>
    <w:rsid w:val="009A3C83"/>
    <w:rsid w:val="009B2149"/>
    <w:rsid w:val="009C466A"/>
    <w:rsid w:val="00A07646"/>
    <w:rsid w:val="00A14A90"/>
    <w:rsid w:val="00A1566D"/>
    <w:rsid w:val="00A16A26"/>
    <w:rsid w:val="00A21EB6"/>
    <w:rsid w:val="00A228AA"/>
    <w:rsid w:val="00A2478C"/>
    <w:rsid w:val="00A503C0"/>
    <w:rsid w:val="00A66732"/>
    <w:rsid w:val="00A772DE"/>
    <w:rsid w:val="00A77E80"/>
    <w:rsid w:val="00A91C04"/>
    <w:rsid w:val="00A9388B"/>
    <w:rsid w:val="00AA2376"/>
    <w:rsid w:val="00AB12BE"/>
    <w:rsid w:val="00AC072E"/>
    <w:rsid w:val="00B21D79"/>
    <w:rsid w:val="00B405D7"/>
    <w:rsid w:val="00B41475"/>
    <w:rsid w:val="00B44902"/>
    <w:rsid w:val="00B55514"/>
    <w:rsid w:val="00B60E75"/>
    <w:rsid w:val="00B74FAC"/>
    <w:rsid w:val="00B92A2E"/>
    <w:rsid w:val="00BA1947"/>
    <w:rsid w:val="00BA7A4A"/>
    <w:rsid w:val="00BC77E0"/>
    <w:rsid w:val="00BF504D"/>
    <w:rsid w:val="00C104F2"/>
    <w:rsid w:val="00C20261"/>
    <w:rsid w:val="00C27DAA"/>
    <w:rsid w:val="00C418EC"/>
    <w:rsid w:val="00C6693D"/>
    <w:rsid w:val="00C723E7"/>
    <w:rsid w:val="00C97FFD"/>
    <w:rsid w:val="00CA12EC"/>
    <w:rsid w:val="00CA43AB"/>
    <w:rsid w:val="00CC3B52"/>
    <w:rsid w:val="00CE0966"/>
    <w:rsid w:val="00D14180"/>
    <w:rsid w:val="00D279D1"/>
    <w:rsid w:val="00D65694"/>
    <w:rsid w:val="00D81A57"/>
    <w:rsid w:val="00D84094"/>
    <w:rsid w:val="00D946BC"/>
    <w:rsid w:val="00DA126F"/>
    <w:rsid w:val="00DA31CC"/>
    <w:rsid w:val="00DD4936"/>
    <w:rsid w:val="00DE13C5"/>
    <w:rsid w:val="00E13B74"/>
    <w:rsid w:val="00E27134"/>
    <w:rsid w:val="00E351A8"/>
    <w:rsid w:val="00E406D9"/>
    <w:rsid w:val="00E41A55"/>
    <w:rsid w:val="00E4232D"/>
    <w:rsid w:val="00E47D15"/>
    <w:rsid w:val="00E54AC0"/>
    <w:rsid w:val="00E64F2B"/>
    <w:rsid w:val="00E67BA7"/>
    <w:rsid w:val="00E80493"/>
    <w:rsid w:val="00ED09B9"/>
    <w:rsid w:val="00EF6952"/>
    <w:rsid w:val="00F00CEE"/>
    <w:rsid w:val="00F102BC"/>
    <w:rsid w:val="00F33553"/>
    <w:rsid w:val="00F41A65"/>
    <w:rsid w:val="00F41C91"/>
    <w:rsid w:val="00F85C1D"/>
    <w:rsid w:val="00FA3ABD"/>
    <w:rsid w:val="00FB3B64"/>
    <w:rsid w:val="00FB3BCD"/>
    <w:rsid w:val="00FB604B"/>
    <w:rsid w:val="00FB6F22"/>
    <w:rsid w:val="00FC30A1"/>
    <w:rsid w:val="00FE0EB8"/>
    <w:rsid w:val="00FE6999"/>
    <w:rsid w:val="22BF3E47"/>
  </w:rsids>
  <m:mathPr>
    <m:mathFont m:val="Cambria Math"/>
    <m:brkBin m:val="before"/>
    <m:brkBinSub m:val="--"/>
    <m:smallFrac m:val="0"/>
    <m:dispDef m:val="0"/>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0"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1"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15"/>
    <w:qFormat/>
    <w:uiPriority w:val="0"/>
    <w:pPr>
      <w:keepNext/>
      <w:keepLines/>
      <w:spacing w:before="340" w:after="330" w:line="576" w:lineRule="auto"/>
      <w:outlineLvl w:val="0"/>
    </w:pPr>
    <w:rPr>
      <w:b/>
      <w:kern w:val="44"/>
      <w:sz w:val="44"/>
    </w:rPr>
  </w:style>
  <w:style w:type="paragraph" w:styleId="3">
    <w:name w:val="heading 2"/>
    <w:basedOn w:val="1"/>
    <w:next w:val="1"/>
    <w:link w:val="16"/>
    <w:semiHidden/>
    <w:unhideWhenUsed/>
    <w:qFormat/>
    <w:uiPriority w:val="0"/>
    <w:pPr>
      <w:keepNext/>
      <w:keepLines/>
      <w:spacing w:before="260" w:after="260" w:line="408" w:lineRule="auto"/>
      <w:outlineLvl w:val="1"/>
    </w:pPr>
    <w:rPr>
      <w:rFonts w:ascii="Arial" w:hAnsi="Arial" w:eastAsia="黑体"/>
      <w:b/>
      <w:sz w:val="32"/>
    </w:rPr>
  </w:style>
  <w:style w:type="character" w:default="1" w:styleId="13">
    <w:name w:val="Default Paragraph Font"/>
    <w:semiHidden/>
    <w:unhideWhenUsed/>
    <w:uiPriority w:val="1"/>
  </w:style>
  <w:style w:type="table" w:default="1" w:styleId="11">
    <w:name w:val="Normal Table"/>
    <w:semiHidden/>
    <w:unhideWhenUsed/>
    <w:uiPriority w:val="99"/>
    <w:tblPr>
      <w:tblCellMar>
        <w:top w:w="0" w:type="dxa"/>
        <w:left w:w="108" w:type="dxa"/>
        <w:bottom w:w="0" w:type="dxa"/>
        <w:right w:w="108" w:type="dxa"/>
      </w:tblCellMar>
    </w:tblPr>
  </w:style>
  <w:style w:type="paragraph" w:styleId="4">
    <w:name w:val="annotation text"/>
    <w:basedOn w:val="1"/>
    <w:link w:val="17"/>
    <w:semiHidden/>
    <w:unhideWhenUsed/>
    <w:uiPriority w:val="0"/>
    <w:pPr>
      <w:jc w:val="left"/>
    </w:pPr>
    <w:rPr>
      <w:rFonts w:asciiTheme="minorHAnsi" w:hAnsiTheme="minorHAnsi" w:cstheme="minorBidi"/>
      <w:szCs w:val="22"/>
    </w:rPr>
  </w:style>
  <w:style w:type="paragraph" w:styleId="5">
    <w:name w:val="Body Text"/>
    <w:basedOn w:val="1"/>
    <w:link w:val="20"/>
    <w:semiHidden/>
    <w:unhideWhenUsed/>
    <w:qFormat/>
    <w:uiPriority w:val="1"/>
    <w:pPr>
      <w:spacing w:before="19"/>
      <w:ind w:left="479"/>
      <w:jc w:val="left"/>
    </w:pPr>
    <w:rPr>
      <w:rFonts w:ascii="宋体" w:hAnsi="宋体" w:cstheme="minorBidi"/>
      <w:kern w:val="0"/>
      <w:sz w:val="18"/>
      <w:szCs w:val="18"/>
      <w:lang w:eastAsia="en-US"/>
    </w:rPr>
  </w:style>
  <w:style w:type="paragraph" w:styleId="6">
    <w:name w:val="Date"/>
    <w:basedOn w:val="1"/>
    <w:next w:val="1"/>
    <w:link w:val="24"/>
    <w:semiHidden/>
    <w:unhideWhenUsed/>
    <w:uiPriority w:val="99"/>
    <w:pPr>
      <w:ind w:left="100" w:leftChars="2500"/>
    </w:pPr>
  </w:style>
  <w:style w:type="paragraph" w:styleId="7">
    <w:name w:val="Balloon Text"/>
    <w:basedOn w:val="1"/>
    <w:link w:val="22"/>
    <w:semiHidden/>
    <w:unhideWhenUsed/>
    <w:uiPriority w:val="99"/>
    <w:rPr>
      <w:sz w:val="18"/>
      <w:szCs w:val="18"/>
    </w:rPr>
  </w:style>
  <w:style w:type="paragraph" w:styleId="8">
    <w:name w:val="footer"/>
    <w:basedOn w:val="1"/>
    <w:link w:val="19"/>
    <w:unhideWhenUsed/>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9">
    <w:name w:val="header"/>
    <w:basedOn w:val="1"/>
    <w:link w:val="18"/>
    <w:unhideWhenUsed/>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10">
    <w:name w:val="annotation subject"/>
    <w:basedOn w:val="4"/>
    <w:next w:val="4"/>
    <w:link w:val="21"/>
    <w:semiHidden/>
    <w:unhideWhenUsed/>
    <w:uiPriority w:val="99"/>
    <w:rPr>
      <w:rFonts w:ascii="Times New Roman" w:hAnsi="Times New Roman" w:cs="Times New Roman"/>
      <w:b/>
      <w:bCs/>
      <w:szCs w:val="20"/>
    </w:rPr>
  </w:style>
  <w:style w:type="table" w:styleId="12">
    <w:name w:val="Table Grid"/>
    <w:basedOn w:val="11"/>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4">
    <w:name w:val="annotation reference"/>
    <w:semiHidden/>
    <w:unhideWhenUsed/>
    <w:uiPriority w:val="0"/>
    <w:rPr>
      <w:sz w:val="21"/>
    </w:rPr>
  </w:style>
  <w:style w:type="character" w:customStyle="1" w:styleId="15">
    <w:name w:val="标题 1 Char"/>
    <w:basedOn w:val="13"/>
    <w:link w:val="2"/>
    <w:locked/>
    <w:uiPriority w:val="0"/>
    <w:rPr>
      <w:rFonts w:ascii="Times New Roman" w:hAnsi="Times New Roman" w:eastAsia="宋体" w:cs="Times New Roman"/>
      <w:b/>
      <w:kern w:val="44"/>
      <w:sz w:val="44"/>
      <w:szCs w:val="20"/>
    </w:rPr>
  </w:style>
  <w:style w:type="character" w:customStyle="1" w:styleId="16">
    <w:name w:val="标题 2 Char"/>
    <w:basedOn w:val="13"/>
    <w:link w:val="3"/>
    <w:semiHidden/>
    <w:locked/>
    <w:uiPriority w:val="0"/>
    <w:rPr>
      <w:rFonts w:ascii="Arial" w:hAnsi="Arial" w:eastAsia="黑体" w:cs="Times New Roman"/>
      <w:b/>
      <w:sz w:val="32"/>
      <w:szCs w:val="20"/>
    </w:rPr>
  </w:style>
  <w:style w:type="character" w:customStyle="1" w:styleId="17">
    <w:name w:val="批注文字 Char"/>
    <w:link w:val="4"/>
    <w:semiHidden/>
    <w:locked/>
    <w:uiPriority w:val="0"/>
    <w:rPr>
      <w:rFonts w:hint="eastAsia" w:ascii="宋体" w:hAnsi="宋体" w:eastAsia="宋体"/>
    </w:rPr>
  </w:style>
  <w:style w:type="character" w:customStyle="1" w:styleId="18">
    <w:name w:val="页眉 Char"/>
    <w:basedOn w:val="13"/>
    <w:link w:val="9"/>
    <w:locked/>
    <w:uiPriority w:val="99"/>
    <w:rPr>
      <w:sz w:val="18"/>
      <w:szCs w:val="18"/>
    </w:rPr>
  </w:style>
  <w:style w:type="character" w:customStyle="1" w:styleId="19">
    <w:name w:val="页脚 Char"/>
    <w:basedOn w:val="13"/>
    <w:link w:val="8"/>
    <w:locked/>
    <w:uiPriority w:val="99"/>
    <w:rPr>
      <w:sz w:val="18"/>
      <w:szCs w:val="18"/>
    </w:rPr>
  </w:style>
  <w:style w:type="character" w:customStyle="1" w:styleId="20">
    <w:name w:val="正文文本 Char"/>
    <w:basedOn w:val="13"/>
    <w:link w:val="5"/>
    <w:semiHidden/>
    <w:locked/>
    <w:uiPriority w:val="1"/>
    <w:rPr>
      <w:rFonts w:hint="eastAsia" w:ascii="宋体" w:hAnsi="宋体" w:eastAsia="宋体"/>
      <w:sz w:val="18"/>
      <w:szCs w:val="18"/>
      <w:lang w:eastAsia="en-US"/>
    </w:rPr>
  </w:style>
  <w:style w:type="character" w:customStyle="1" w:styleId="21">
    <w:name w:val="批注主题 Char"/>
    <w:basedOn w:val="17"/>
    <w:link w:val="10"/>
    <w:semiHidden/>
    <w:locked/>
    <w:uiPriority w:val="99"/>
    <w:rPr>
      <w:rFonts w:hint="eastAsia" w:ascii="Times New Roman" w:hAnsi="Times New Roman" w:eastAsia="宋体" w:cs="Times New Roman"/>
      <w:b/>
      <w:bCs/>
      <w:kern w:val="2"/>
      <w:sz w:val="21"/>
    </w:rPr>
  </w:style>
  <w:style w:type="character" w:customStyle="1" w:styleId="22">
    <w:name w:val="批注框文本 Char"/>
    <w:basedOn w:val="13"/>
    <w:link w:val="7"/>
    <w:semiHidden/>
    <w:locked/>
    <w:uiPriority w:val="99"/>
    <w:rPr>
      <w:rFonts w:ascii="Times New Roman" w:hAnsi="Times New Roman" w:eastAsia="宋体" w:cs="Times New Roman"/>
      <w:sz w:val="18"/>
      <w:szCs w:val="18"/>
    </w:rPr>
  </w:style>
  <w:style w:type="character" w:customStyle="1" w:styleId="23">
    <w:name w:val="批注文字 Char1"/>
    <w:basedOn w:val="13"/>
    <w:semiHidden/>
    <w:uiPriority w:val="99"/>
    <w:rPr>
      <w:rFonts w:ascii="Times New Roman" w:hAnsi="Times New Roman" w:eastAsia="宋体" w:cs="Times New Roman"/>
      <w:szCs w:val="20"/>
    </w:rPr>
  </w:style>
  <w:style w:type="character" w:customStyle="1" w:styleId="24">
    <w:name w:val="日期 Char"/>
    <w:basedOn w:val="13"/>
    <w:link w:val="6"/>
    <w:semiHidden/>
    <w:uiPriority w:val="99"/>
    <w:rPr>
      <w:rFonts w:ascii="Times New Roman" w:hAnsi="Times New Roman" w:eastAsia="宋体" w:cs="Times New Roman"/>
      <w:kern w:val="2"/>
      <w:sz w:val="21"/>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chart" Target="charts/chart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C:\Users\80308982\Downloads\&#20928;&#20540;&#34920;\1&#24180;108&#26399;WB007560.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[1年108期WB007560.xlsx]Sheet2!$B$1</c:f>
              <c:strCache>
                <c:ptCount val="1"/>
                <c:pt idx="0">
                  <c:v>净值增长率</c:v>
                </c:pt>
              </c:strCache>
            </c:strRef>
          </c:tx>
          <c:spPr>
            <a:ln w="28575" cap="rnd">
              <a:solidFill>
                <a:schemeClr val="accent1"/>
              </a:solidFill>
              <a:round/>
            </a:ln>
            <a:effectLst/>
          </c:spPr>
          <c:marker>
            <c:symbol val="none"/>
          </c:marker>
          <c:dLbls>
            <c:delete val="1"/>
          </c:dLbls>
          <c:cat>
            <c:numRef>
              <c:f>[1年108期WB007560.xlsx]Sheet2!$A$2:$A$220</c:f>
              <c:numCache>
                <c:formatCode>yyyy/m/d</c:formatCode>
                <c:ptCount val="219"/>
                <c:pt idx="0" c:formatCode="yyyy/m/d">
                  <c:v>44524</c:v>
                </c:pt>
                <c:pt idx="1" c:formatCode="yyyy/m/d">
                  <c:v>44525</c:v>
                </c:pt>
                <c:pt idx="2" c:formatCode="yyyy/m/d">
                  <c:v>44526</c:v>
                </c:pt>
                <c:pt idx="3" c:formatCode="yyyy/m/d">
                  <c:v>44527</c:v>
                </c:pt>
                <c:pt idx="4" c:formatCode="yyyy/m/d">
                  <c:v>44528</c:v>
                </c:pt>
                <c:pt idx="5" c:formatCode="yyyy/m/d">
                  <c:v>44529</c:v>
                </c:pt>
                <c:pt idx="6" c:formatCode="yyyy/m/d">
                  <c:v>44530</c:v>
                </c:pt>
                <c:pt idx="7" c:formatCode="yyyy/m/d">
                  <c:v>44531</c:v>
                </c:pt>
                <c:pt idx="8" c:formatCode="yyyy/m/d">
                  <c:v>44532</c:v>
                </c:pt>
                <c:pt idx="9" c:formatCode="yyyy/m/d">
                  <c:v>44533</c:v>
                </c:pt>
                <c:pt idx="10" c:formatCode="yyyy/m/d">
                  <c:v>44534</c:v>
                </c:pt>
                <c:pt idx="11" c:formatCode="yyyy/m/d">
                  <c:v>44535</c:v>
                </c:pt>
                <c:pt idx="12" c:formatCode="yyyy/m/d">
                  <c:v>44536</c:v>
                </c:pt>
                <c:pt idx="13" c:formatCode="yyyy/m/d">
                  <c:v>44537</c:v>
                </c:pt>
                <c:pt idx="14" c:formatCode="yyyy/m/d">
                  <c:v>44538</c:v>
                </c:pt>
                <c:pt idx="15" c:formatCode="yyyy/m/d">
                  <c:v>44539</c:v>
                </c:pt>
                <c:pt idx="16" c:formatCode="yyyy/m/d">
                  <c:v>44540</c:v>
                </c:pt>
                <c:pt idx="17" c:formatCode="yyyy/m/d">
                  <c:v>44541</c:v>
                </c:pt>
                <c:pt idx="18" c:formatCode="yyyy/m/d">
                  <c:v>44542</c:v>
                </c:pt>
                <c:pt idx="19" c:formatCode="yyyy/m/d">
                  <c:v>44543</c:v>
                </c:pt>
                <c:pt idx="20" c:formatCode="yyyy/m/d">
                  <c:v>44544</c:v>
                </c:pt>
                <c:pt idx="21" c:formatCode="yyyy/m/d">
                  <c:v>44545</c:v>
                </c:pt>
                <c:pt idx="22" c:formatCode="yyyy/m/d">
                  <c:v>44546</c:v>
                </c:pt>
                <c:pt idx="23" c:formatCode="yyyy/m/d">
                  <c:v>44547</c:v>
                </c:pt>
                <c:pt idx="24" c:formatCode="yyyy/m/d">
                  <c:v>44548</c:v>
                </c:pt>
                <c:pt idx="25" c:formatCode="yyyy/m/d">
                  <c:v>44549</c:v>
                </c:pt>
                <c:pt idx="26" c:formatCode="yyyy/m/d">
                  <c:v>44550</c:v>
                </c:pt>
                <c:pt idx="27" c:formatCode="yyyy/m/d">
                  <c:v>44551</c:v>
                </c:pt>
                <c:pt idx="28" c:formatCode="yyyy/m/d">
                  <c:v>44552</c:v>
                </c:pt>
                <c:pt idx="29" c:formatCode="yyyy/m/d">
                  <c:v>44553</c:v>
                </c:pt>
                <c:pt idx="30" c:formatCode="yyyy/m/d">
                  <c:v>44554</c:v>
                </c:pt>
                <c:pt idx="31" c:formatCode="yyyy/m/d">
                  <c:v>44555</c:v>
                </c:pt>
                <c:pt idx="32" c:formatCode="yyyy/m/d">
                  <c:v>44556</c:v>
                </c:pt>
                <c:pt idx="33" c:formatCode="yyyy/m/d">
                  <c:v>44557</c:v>
                </c:pt>
                <c:pt idx="34" c:formatCode="yyyy/m/d">
                  <c:v>44558</c:v>
                </c:pt>
                <c:pt idx="35" c:formatCode="yyyy/m/d">
                  <c:v>44559</c:v>
                </c:pt>
                <c:pt idx="36" c:formatCode="yyyy/m/d">
                  <c:v>44560</c:v>
                </c:pt>
                <c:pt idx="37" c:formatCode="yyyy/m/d">
                  <c:v>44561</c:v>
                </c:pt>
                <c:pt idx="38" c:formatCode="yyyy/m/d">
                  <c:v>44562</c:v>
                </c:pt>
                <c:pt idx="39" c:formatCode="yyyy/m/d">
                  <c:v>44563</c:v>
                </c:pt>
                <c:pt idx="40" c:formatCode="yyyy/m/d">
                  <c:v>44564</c:v>
                </c:pt>
                <c:pt idx="41" c:formatCode="yyyy/m/d">
                  <c:v>44565</c:v>
                </c:pt>
                <c:pt idx="42" c:formatCode="yyyy/m/d">
                  <c:v>44566</c:v>
                </c:pt>
                <c:pt idx="43" c:formatCode="yyyy/m/d">
                  <c:v>44567</c:v>
                </c:pt>
                <c:pt idx="44" c:formatCode="yyyy/m/d">
                  <c:v>44568</c:v>
                </c:pt>
                <c:pt idx="45" c:formatCode="yyyy/m/d">
                  <c:v>44569</c:v>
                </c:pt>
                <c:pt idx="46" c:formatCode="yyyy/m/d">
                  <c:v>44570</c:v>
                </c:pt>
                <c:pt idx="47" c:formatCode="yyyy/m/d">
                  <c:v>44571</c:v>
                </c:pt>
                <c:pt idx="48" c:formatCode="yyyy/m/d">
                  <c:v>44572</c:v>
                </c:pt>
                <c:pt idx="49" c:formatCode="yyyy/m/d">
                  <c:v>44573</c:v>
                </c:pt>
                <c:pt idx="50" c:formatCode="yyyy/m/d">
                  <c:v>44574</c:v>
                </c:pt>
                <c:pt idx="51" c:formatCode="yyyy/m/d">
                  <c:v>44575</c:v>
                </c:pt>
                <c:pt idx="52" c:formatCode="yyyy/m/d">
                  <c:v>44576</c:v>
                </c:pt>
                <c:pt idx="53" c:formatCode="yyyy/m/d">
                  <c:v>44577</c:v>
                </c:pt>
                <c:pt idx="54" c:formatCode="yyyy/m/d">
                  <c:v>44578</c:v>
                </c:pt>
                <c:pt idx="55" c:formatCode="yyyy/m/d">
                  <c:v>44579</c:v>
                </c:pt>
                <c:pt idx="56" c:formatCode="yyyy/m/d">
                  <c:v>44580</c:v>
                </c:pt>
                <c:pt idx="57" c:formatCode="yyyy/m/d">
                  <c:v>44581</c:v>
                </c:pt>
                <c:pt idx="58" c:formatCode="yyyy/m/d">
                  <c:v>44582</c:v>
                </c:pt>
                <c:pt idx="59" c:formatCode="yyyy/m/d">
                  <c:v>44583</c:v>
                </c:pt>
                <c:pt idx="60" c:formatCode="yyyy/m/d">
                  <c:v>44584</c:v>
                </c:pt>
                <c:pt idx="61" c:formatCode="yyyy/m/d">
                  <c:v>44585</c:v>
                </c:pt>
                <c:pt idx="62" c:formatCode="yyyy/m/d">
                  <c:v>44586</c:v>
                </c:pt>
                <c:pt idx="63" c:formatCode="yyyy/m/d">
                  <c:v>44587</c:v>
                </c:pt>
                <c:pt idx="64" c:formatCode="yyyy/m/d">
                  <c:v>44588</c:v>
                </c:pt>
                <c:pt idx="65" c:formatCode="yyyy/m/d">
                  <c:v>44589</c:v>
                </c:pt>
                <c:pt idx="66" c:formatCode="yyyy/m/d">
                  <c:v>44590</c:v>
                </c:pt>
                <c:pt idx="67" c:formatCode="yyyy/m/d">
                  <c:v>44591</c:v>
                </c:pt>
                <c:pt idx="68" c:formatCode="yyyy/m/d">
                  <c:v>44592</c:v>
                </c:pt>
                <c:pt idx="69" c:formatCode="yyyy/m/d">
                  <c:v>44593</c:v>
                </c:pt>
                <c:pt idx="70" c:formatCode="yyyy/m/d">
                  <c:v>44594</c:v>
                </c:pt>
                <c:pt idx="71" c:formatCode="yyyy/m/d">
                  <c:v>44595</c:v>
                </c:pt>
                <c:pt idx="72" c:formatCode="yyyy/m/d">
                  <c:v>44596</c:v>
                </c:pt>
                <c:pt idx="73" c:formatCode="yyyy/m/d">
                  <c:v>44597</c:v>
                </c:pt>
                <c:pt idx="74" c:formatCode="yyyy/m/d">
                  <c:v>44598</c:v>
                </c:pt>
                <c:pt idx="75" c:formatCode="yyyy/m/d">
                  <c:v>44599</c:v>
                </c:pt>
                <c:pt idx="76" c:formatCode="yyyy/m/d">
                  <c:v>44600</c:v>
                </c:pt>
                <c:pt idx="77" c:formatCode="yyyy/m/d">
                  <c:v>44601</c:v>
                </c:pt>
                <c:pt idx="78" c:formatCode="yyyy/m/d">
                  <c:v>44602</c:v>
                </c:pt>
                <c:pt idx="79" c:formatCode="yyyy/m/d">
                  <c:v>44603</c:v>
                </c:pt>
                <c:pt idx="80" c:formatCode="yyyy/m/d">
                  <c:v>44604</c:v>
                </c:pt>
                <c:pt idx="81" c:formatCode="yyyy/m/d">
                  <c:v>44605</c:v>
                </c:pt>
                <c:pt idx="82" c:formatCode="yyyy/m/d">
                  <c:v>44606</c:v>
                </c:pt>
                <c:pt idx="83" c:formatCode="yyyy/m/d">
                  <c:v>44607</c:v>
                </c:pt>
                <c:pt idx="84" c:formatCode="yyyy/m/d">
                  <c:v>44608</c:v>
                </c:pt>
                <c:pt idx="85" c:formatCode="yyyy/m/d">
                  <c:v>44609</c:v>
                </c:pt>
                <c:pt idx="86" c:formatCode="yyyy/m/d">
                  <c:v>44610</c:v>
                </c:pt>
                <c:pt idx="87" c:formatCode="yyyy/m/d">
                  <c:v>44611</c:v>
                </c:pt>
                <c:pt idx="88" c:formatCode="yyyy/m/d">
                  <c:v>44612</c:v>
                </c:pt>
                <c:pt idx="89" c:formatCode="yyyy/m/d">
                  <c:v>44613</c:v>
                </c:pt>
                <c:pt idx="90" c:formatCode="yyyy/m/d">
                  <c:v>44614</c:v>
                </c:pt>
                <c:pt idx="91" c:formatCode="yyyy/m/d">
                  <c:v>44615</c:v>
                </c:pt>
                <c:pt idx="92" c:formatCode="yyyy/m/d">
                  <c:v>44616</c:v>
                </c:pt>
                <c:pt idx="93" c:formatCode="yyyy/m/d">
                  <c:v>44617</c:v>
                </c:pt>
                <c:pt idx="94" c:formatCode="yyyy/m/d">
                  <c:v>44618</c:v>
                </c:pt>
                <c:pt idx="95" c:formatCode="yyyy/m/d">
                  <c:v>44619</c:v>
                </c:pt>
                <c:pt idx="96" c:formatCode="yyyy/m/d">
                  <c:v>44620</c:v>
                </c:pt>
                <c:pt idx="97" c:formatCode="yyyy/m/d">
                  <c:v>44621</c:v>
                </c:pt>
                <c:pt idx="98" c:formatCode="yyyy/m/d">
                  <c:v>44622</c:v>
                </c:pt>
                <c:pt idx="99" c:formatCode="yyyy/m/d">
                  <c:v>44623</c:v>
                </c:pt>
                <c:pt idx="100" c:formatCode="yyyy/m/d">
                  <c:v>44624</c:v>
                </c:pt>
                <c:pt idx="101" c:formatCode="yyyy/m/d">
                  <c:v>44625</c:v>
                </c:pt>
                <c:pt idx="102" c:formatCode="yyyy/m/d">
                  <c:v>44626</c:v>
                </c:pt>
                <c:pt idx="103" c:formatCode="yyyy/m/d">
                  <c:v>44627</c:v>
                </c:pt>
                <c:pt idx="104" c:formatCode="yyyy/m/d">
                  <c:v>44628</c:v>
                </c:pt>
                <c:pt idx="105" c:formatCode="yyyy/m/d">
                  <c:v>44629</c:v>
                </c:pt>
                <c:pt idx="106" c:formatCode="yyyy/m/d">
                  <c:v>44630</c:v>
                </c:pt>
                <c:pt idx="107" c:formatCode="yyyy/m/d">
                  <c:v>44631</c:v>
                </c:pt>
                <c:pt idx="108" c:formatCode="yyyy/m/d">
                  <c:v>44632</c:v>
                </c:pt>
                <c:pt idx="109" c:formatCode="yyyy/m/d">
                  <c:v>44633</c:v>
                </c:pt>
                <c:pt idx="110" c:formatCode="yyyy/m/d">
                  <c:v>44634</c:v>
                </c:pt>
                <c:pt idx="111" c:formatCode="yyyy/m/d">
                  <c:v>44635</c:v>
                </c:pt>
                <c:pt idx="112" c:formatCode="yyyy/m/d">
                  <c:v>44636</c:v>
                </c:pt>
                <c:pt idx="113" c:formatCode="yyyy/m/d">
                  <c:v>44637</c:v>
                </c:pt>
                <c:pt idx="114" c:formatCode="yyyy/m/d">
                  <c:v>44638</c:v>
                </c:pt>
                <c:pt idx="115" c:formatCode="yyyy/m/d">
                  <c:v>44639</c:v>
                </c:pt>
                <c:pt idx="116" c:formatCode="yyyy/m/d">
                  <c:v>44640</c:v>
                </c:pt>
                <c:pt idx="117" c:formatCode="yyyy/m/d">
                  <c:v>44641</c:v>
                </c:pt>
                <c:pt idx="118" c:formatCode="yyyy/m/d">
                  <c:v>44642</c:v>
                </c:pt>
                <c:pt idx="119" c:formatCode="yyyy/m/d">
                  <c:v>44643</c:v>
                </c:pt>
                <c:pt idx="120" c:formatCode="yyyy/m/d">
                  <c:v>44644</c:v>
                </c:pt>
                <c:pt idx="121" c:formatCode="yyyy/m/d">
                  <c:v>44645</c:v>
                </c:pt>
                <c:pt idx="122" c:formatCode="yyyy/m/d">
                  <c:v>44646</c:v>
                </c:pt>
                <c:pt idx="123" c:formatCode="yyyy/m/d">
                  <c:v>44647</c:v>
                </c:pt>
                <c:pt idx="124" c:formatCode="yyyy/m/d">
                  <c:v>44648</c:v>
                </c:pt>
                <c:pt idx="125" c:formatCode="yyyy/m/d">
                  <c:v>44649</c:v>
                </c:pt>
                <c:pt idx="126" c:formatCode="yyyy/m/d">
                  <c:v>44650</c:v>
                </c:pt>
                <c:pt idx="127" c:formatCode="yyyy/m/d">
                  <c:v>44651</c:v>
                </c:pt>
                <c:pt idx="128" c:formatCode="yyyy/m/d">
                  <c:v>44652</c:v>
                </c:pt>
                <c:pt idx="129" c:formatCode="yyyy/m/d">
                  <c:v>44653</c:v>
                </c:pt>
                <c:pt idx="130" c:formatCode="yyyy/m/d">
                  <c:v>44654</c:v>
                </c:pt>
                <c:pt idx="131" c:formatCode="yyyy/m/d">
                  <c:v>44655</c:v>
                </c:pt>
                <c:pt idx="132" c:formatCode="yyyy/m/d">
                  <c:v>44656</c:v>
                </c:pt>
                <c:pt idx="133" c:formatCode="yyyy/m/d">
                  <c:v>44657</c:v>
                </c:pt>
                <c:pt idx="134" c:formatCode="yyyy/m/d">
                  <c:v>44658</c:v>
                </c:pt>
                <c:pt idx="135" c:formatCode="yyyy/m/d">
                  <c:v>44659</c:v>
                </c:pt>
                <c:pt idx="136" c:formatCode="yyyy/m/d">
                  <c:v>44660</c:v>
                </c:pt>
                <c:pt idx="137" c:formatCode="yyyy/m/d">
                  <c:v>44661</c:v>
                </c:pt>
                <c:pt idx="138" c:formatCode="yyyy/m/d">
                  <c:v>44662</c:v>
                </c:pt>
                <c:pt idx="139" c:formatCode="yyyy/m/d">
                  <c:v>44663</c:v>
                </c:pt>
                <c:pt idx="140" c:formatCode="yyyy/m/d">
                  <c:v>44664</c:v>
                </c:pt>
                <c:pt idx="141" c:formatCode="yyyy/m/d">
                  <c:v>44665</c:v>
                </c:pt>
                <c:pt idx="142" c:formatCode="yyyy/m/d">
                  <c:v>44666</c:v>
                </c:pt>
                <c:pt idx="143" c:formatCode="yyyy/m/d">
                  <c:v>44667</c:v>
                </c:pt>
                <c:pt idx="144" c:formatCode="yyyy/m/d">
                  <c:v>44668</c:v>
                </c:pt>
                <c:pt idx="145" c:formatCode="yyyy/m/d">
                  <c:v>44669</c:v>
                </c:pt>
                <c:pt idx="146" c:formatCode="yyyy/m/d">
                  <c:v>44670</c:v>
                </c:pt>
                <c:pt idx="147" c:formatCode="yyyy/m/d">
                  <c:v>44671</c:v>
                </c:pt>
                <c:pt idx="148" c:formatCode="yyyy/m/d">
                  <c:v>44672</c:v>
                </c:pt>
                <c:pt idx="149" c:formatCode="yyyy/m/d">
                  <c:v>44673</c:v>
                </c:pt>
                <c:pt idx="150" c:formatCode="yyyy/m/d">
                  <c:v>44674</c:v>
                </c:pt>
                <c:pt idx="151" c:formatCode="yyyy/m/d">
                  <c:v>44675</c:v>
                </c:pt>
                <c:pt idx="152" c:formatCode="yyyy/m/d">
                  <c:v>44676</c:v>
                </c:pt>
                <c:pt idx="153" c:formatCode="yyyy/m/d">
                  <c:v>44677</c:v>
                </c:pt>
                <c:pt idx="154" c:formatCode="yyyy/m/d">
                  <c:v>44678</c:v>
                </c:pt>
                <c:pt idx="155" c:formatCode="yyyy/m/d">
                  <c:v>44679</c:v>
                </c:pt>
                <c:pt idx="156" c:formatCode="yyyy/m/d">
                  <c:v>44680</c:v>
                </c:pt>
                <c:pt idx="157" c:formatCode="yyyy/m/d">
                  <c:v>44681</c:v>
                </c:pt>
                <c:pt idx="158" c:formatCode="yyyy/m/d">
                  <c:v>44682</c:v>
                </c:pt>
                <c:pt idx="159" c:formatCode="yyyy/m/d">
                  <c:v>44683</c:v>
                </c:pt>
                <c:pt idx="160" c:formatCode="yyyy/m/d">
                  <c:v>44684</c:v>
                </c:pt>
                <c:pt idx="161" c:formatCode="yyyy/m/d">
                  <c:v>44685</c:v>
                </c:pt>
                <c:pt idx="162" c:formatCode="yyyy/m/d">
                  <c:v>44686</c:v>
                </c:pt>
                <c:pt idx="163" c:formatCode="yyyy/m/d">
                  <c:v>44687</c:v>
                </c:pt>
                <c:pt idx="164" c:formatCode="yyyy/m/d">
                  <c:v>44688</c:v>
                </c:pt>
                <c:pt idx="165" c:formatCode="yyyy/m/d">
                  <c:v>44689</c:v>
                </c:pt>
                <c:pt idx="166" c:formatCode="yyyy/m/d">
                  <c:v>44690</c:v>
                </c:pt>
                <c:pt idx="167" c:formatCode="yyyy/m/d">
                  <c:v>44691</c:v>
                </c:pt>
                <c:pt idx="168" c:formatCode="yyyy/m/d">
                  <c:v>44692</c:v>
                </c:pt>
                <c:pt idx="169" c:formatCode="yyyy/m/d">
                  <c:v>44693</c:v>
                </c:pt>
                <c:pt idx="170" c:formatCode="yyyy/m/d">
                  <c:v>44694</c:v>
                </c:pt>
                <c:pt idx="171" c:formatCode="yyyy/m/d">
                  <c:v>44695</c:v>
                </c:pt>
                <c:pt idx="172" c:formatCode="yyyy/m/d">
                  <c:v>44696</c:v>
                </c:pt>
                <c:pt idx="173" c:formatCode="yyyy/m/d">
                  <c:v>44697</c:v>
                </c:pt>
                <c:pt idx="174" c:formatCode="yyyy/m/d">
                  <c:v>44698</c:v>
                </c:pt>
                <c:pt idx="175" c:formatCode="yyyy/m/d">
                  <c:v>44699</c:v>
                </c:pt>
                <c:pt idx="176" c:formatCode="yyyy/m/d">
                  <c:v>44700</c:v>
                </c:pt>
                <c:pt idx="177" c:formatCode="yyyy/m/d">
                  <c:v>44701</c:v>
                </c:pt>
                <c:pt idx="178" c:formatCode="yyyy/m/d">
                  <c:v>44702</c:v>
                </c:pt>
                <c:pt idx="179" c:formatCode="yyyy/m/d">
                  <c:v>44703</c:v>
                </c:pt>
                <c:pt idx="180" c:formatCode="yyyy/m/d">
                  <c:v>44704</c:v>
                </c:pt>
                <c:pt idx="181" c:formatCode="yyyy/m/d">
                  <c:v>44705</c:v>
                </c:pt>
                <c:pt idx="182" c:formatCode="yyyy/m/d">
                  <c:v>44706</c:v>
                </c:pt>
                <c:pt idx="183" c:formatCode="yyyy/m/d">
                  <c:v>44707</c:v>
                </c:pt>
                <c:pt idx="184" c:formatCode="yyyy/m/d">
                  <c:v>44708</c:v>
                </c:pt>
                <c:pt idx="185" c:formatCode="yyyy/m/d">
                  <c:v>44709</c:v>
                </c:pt>
                <c:pt idx="186" c:formatCode="yyyy/m/d">
                  <c:v>44710</c:v>
                </c:pt>
                <c:pt idx="187" c:formatCode="yyyy/m/d">
                  <c:v>44711</c:v>
                </c:pt>
                <c:pt idx="188" c:formatCode="yyyy/m/d">
                  <c:v>44712</c:v>
                </c:pt>
                <c:pt idx="189" c:formatCode="yyyy/m/d">
                  <c:v>44713</c:v>
                </c:pt>
                <c:pt idx="190" c:formatCode="yyyy/m/d">
                  <c:v>44714</c:v>
                </c:pt>
                <c:pt idx="191" c:formatCode="yyyy/m/d">
                  <c:v>44715</c:v>
                </c:pt>
                <c:pt idx="192" c:formatCode="yyyy/m/d">
                  <c:v>44716</c:v>
                </c:pt>
                <c:pt idx="193" c:formatCode="yyyy/m/d">
                  <c:v>44717</c:v>
                </c:pt>
                <c:pt idx="194" c:formatCode="yyyy/m/d">
                  <c:v>44718</c:v>
                </c:pt>
                <c:pt idx="195" c:formatCode="yyyy/m/d">
                  <c:v>44719</c:v>
                </c:pt>
                <c:pt idx="196" c:formatCode="yyyy/m/d">
                  <c:v>44720</c:v>
                </c:pt>
                <c:pt idx="197" c:formatCode="yyyy/m/d">
                  <c:v>44721</c:v>
                </c:pt>
                <c:pt idx="198" c:formatCode="yyyy/m/d">
                  <c:v>44722</c:v>
                </c:pt>
                <c:pt idx="199" c:formatCode="yyyy/m/d">
                  <c:v>44723</c:v>
                </c:pt>
                <c:pt idx="200" c:formatCode="yyyy/m/d">
                  <c:v>44724</c:v>
                </c:pt>
                <c:pt idx="201" c:formatCode="yyyy/m/d">
                  <c:v>44725</c:v>
                </c:pt>
                <c:pt idx="202" c:formatCode="yyyy/m/d">
                  <c:v>44726</c:v>
                </c:pt>
                <c:pt idx="203" c:formatCode="yyyy/m/d">
                  <c:v>44727</c:v>
                </c:pt>
                <c:pt idx="204" c:formatCode="yyyy/m/d">
                  <c:v>44728</c:v>
                </c:pt>
                <c:pt idx="205" c:formatCode="yyyy/m/d">
                  <c:v>44729</c:v>
                </c:pt>
                <c:pt idx="206" c:formatCode="yyyy/m/d">
                  <c:v>44730</c:v>
                </c:pt>
                <c:pt idx="207" c:formatCode="yyyy/m/d">
                  <c:v>44731</c:v>
                </c:pt>
                <c:pt idx="208" c:formatCode="yyyy/m/d">
                  <c:v>44732</c:v>
                </c:pt>
                <c:pt idx="209" c:formatCode="yyyy/m/d">
                  <c:v>44733</c:v>
                </c:pt>
                <c:pt idx="210" c:formatCode="yyyy/m/d">
                  <c:v>44734</c:v>
                </c:pt>
                <c:pt idx="211" c:formatCode="yyyy/m/d">
                  <c:v>44735</c:v>
                </c:pt>
                <c:pt idx="212" c:formatCode="yyyy/m/d">
                  <c:v>44736</c:v>
                </c:pt>
                <c:pt idx="213" c:formatCode="yyyy/m/d">
                  <c:v>44737</c:v>
                </c:pt>
                <c:pt idx="214" c:formatCode="yyyy/m/d">
                  <c:v>44738</c:v>
                </c:pt>
                <c:pt idx="215" c:formatCode="yyyy/m/d">
                  <c:v>44739</c:v>
                </c:pt>
                <c:pt idx="216" c:formatCode="yyyy/m/d">
                  <c:v>44740</c:v>
                </c:pt>
                <c:pt idx="217" c:formatCode="yyyy/m/d">
                  <c:v>44741</c:v>
                </c:pt>
                <c:pt idx="218" c:formatCode="yyyy/m/d">
                  <c:v>44742</c:v>
                </c:pt>
              </c:numCache>
            </c:numRef>
          </c:cat>
          <c:val>
            <c:numRef>
              <c:f>[1年108期WB007560.xlsx]Sheet2!$B$2:$B$220</c:f>
              <c:numCache>
                <c:formatCode>General</c:formatCode>
                <c:ptCount val="219"/>
                <c:pt idx="0">
                  <c:v>9.9999999999989e-5</c:v>
                </c:pt>
                <c:pt idx="1">
                  <c:v>0.000599999999999934</c:v>
                </c:pt>
                <c:pt idx="2">
                  <c:v>0.000699999999999923</c:v>
                </c:pt>
                <c:pt idx="3">
                  <c:v>0.000699999999999923</c:v>
                </c:pt>
                <c:pt idx="4">
                  <c:v>0.000699999999999923</c:v>
                </c:pt>
                <c:pt idx="5">
                  <c:v>0.0011000000000001</c:v>
                </c:pt>
                <c:pt idx="6">
                  <c:v>0.0011000000000001</c:v>
                </c:pt>
                <c:pt idx="7">
                  <c:v>0.00120000000000009</c:v>
                </c:pt>
                <c:pt idx="8">
                  <c:v>0.00130000000000008</c:v>
                </c:pt>
                <c:pt idx="9">
                  <c:v>0.00130000000000008</c:v>
                </c:pt>
                <c:pt idx="10">
                  <c:v>0.00130000000000008</c:v>
                </c:pt>
                <c:pt idx="11">
                  <c:v>0.00130000000000008</c:v>
                </c:pt>
                <c:pt idx="12">
                  <c:v>0.002</c:v>
                </c:pt>
                <c:pt idx="13">
                  <c:v>0.00209999999999999</c:v>
                </c:pt>
                <c:pt idx="14">
                  <c:v>0.002</c:v>
                </c:pt>
                <c:pt idx="15">
                  <c:v>0.00219999999999998</c:v>
                </c:pt>
                <c:pt idx="16">
                  <c:v>0.002</c:v>
                </c:pt>
                <c:pt idx="17">
                  <c:v>0.002</c:v>
                </c:pt>
                <c:pt idx="18">
                  <c:v>0.00190000000000001</c:v>
                </c:pt>
                <c:pt idx="19">
                  <c:v>0.00259999999999994</c:v>
                </c:pt>
                <c:pt idx="20">
                  <c:v>0.00259999999999994</c:v>
                </c:pt>
                <c:pt idx="21">
                  <c:v>0.00279999999999991</c:v>
                </c:pt>
                <c:pt idx="22">
                  <c:v>0.00279999999999991</c:v>
                </c:pt>
                <c:pt idx="23">
                  <c:v>0.00299999999999989</c:v>
                </c:pt>
                <c:pt idx="24">
                  <c:v>0.00299999999999989</c:v>
                </c:pt>
                <c:pt idx="25">
                  <c:v>0.00299999999999989</c:v>
                </c:pt>
                <c:pt idx="26">
                  <c:v>0.00360000000000005</c:v>
                </c:pt>
                <c:pt idx="27">
                  <c:v>0.00360000000000005</c:v>
                </c:pt>
                <c:pt idx="28">
                  <c:v>0.00350000000000006</c:v>
                </c:pt>
                <c:pt idx="29">
                  <c:v>0.00370000000000004</c:v>
                </c:pt>
                <c:pt idx="30">
                  <c:v>0.00370000000000004</c:v>
                </c:pt>
                <c:pt idx="31">
                  <c:v>0.00370000000000004</c:v>
                </c:pt>
                <c:pt idx="32">
                  <c:v>0.00370000000000004</c:v>
                </c:pt>
                <c:pt idx="33">
                  <c:v>0.00390000000000001</c:v>
                </c:pt>
                <c:pt idx="34">
                  <c:v>0.004</c:v>
                </c:pt>
                <c:pt idx="35">
                  <c:v>0.00429999999999997</c:v>
                </c:pt>
                <c:pt idx="36">
                  <c:v>0.00469999999999993</c:v>
                </c:pt>
                <c:pt idx="37">
                  <c:v>0.00499999999999989</c:v>
                </c:pt>
                <c:pt idx="38">
                  <c:v>0.00499999999999989</c:v>
                </c:pt>
                <c:pt idx="39">
                  <c:v>0.00499999999999989</c:v>
                </c:pt>
                <c:pt idx="40">
                  <c:v>0.0048999999999999</c:v>
                </c:pt>
                <c:pt idx="41">
                  <c:v>0.00600000000000001</c:v>
                </c:pt>
                <c:pt idx="42">
                  <c:v>0.00629999999999997</c:v>
                </c:pt>
                <c:pt idx="43">
                  <c:v>0.00649999999999995</c:v>
                </c:pt>
                <c:pt idx="44">
                  <c:v>0.00659999999999994</c:v>
                </c:pt>
                <c:pt idx="45">
                  <c:v>0.00659999999999994</c:v>
                </c:pt>
                <c:pt idx="46">
                  <c:v>0.00659999999999994</c:v>
                </c:pt>
                <c:pt idx="47">
                  <c:v>0.00730000000000008</c:v>
                </c:pt>
                <c:pt idx="48">
                  <c:v>0.00740000000000007</c:v>
                </c:pt>
                <c:pt idx="49">
                  <c:v>0.00780000000000003</c:v>
                </c:pt>
                <c:pt idx="50">
                  <c:v>0.0081</c:v>
                </c:pt>
                <c:pt idx="51">
                  <c:v>0.00839999999999996</c:v>
                </c:pt>
                <c:pt idx="52">
                  <c:v>0.00839999999999996</c:v>
                </c:pt>
                <c:pt idx="53">
                  <c:v>0.00829999999999997</c:v>
                </c:pt>
                <c:pt idx="54">
                  <c:v>0.0104</c:v>
                </c:pt>
                <c:pt idx="55">
                  <c:v>0.0106999999999999</c:v>
                </c:pt>
                <c:pt idx="56">
                  <c:v>0.0113000000000001</c:v>
                </c:pt>
                <c:pt idx="57">
                  <c:v>0.0118</c:v>
                </c:pt>
                <c:pt idx="58">
                  <c:v>0.0123</c:v>
                </c:pt>
                <c:pt idx="59">
                  <c:v>0.0122</c:v>
                </c:pt>
                <c:pt idx="60">
                  <c:v>0.0122</c:v>
                </c:pt>
                <c:pt idx="61">
                  <c:v>0.0130999999999999</c:v>
                </c:pt>
                <c:pt idx="62">
                  <c:v>0.0133000000000001</c:v>
                </c:pt>
                <c:pt idx="63">
                  <c:v>0.0136000000000001</c:v>
                </c:pt>
                <c:pt idx="64">
                  <c:v>0.0138</c:v>
                </c:pt>
                <c:pt idx="65">
                  <c:v>0.0139</c:v>
                </c:pt>
                <c:pt idx="66">
                  <c:v>0.0139</c:v>
                </c:pt>
                <c:pt idx="67">
                  <c:v>0.0142</c:v>
                </c:pt>
                <c:pt idx="68">
                  <c:v>0.0144</c:v>
                </c:pt>
                <c:pt idx="69">
                  <c:v>0.0144</c:v>
                </c:pt>
                <c:pt idx="70">
                  <c:v>0.0144</c:v>
                </c:pt>
                <c:pt idx="71">
                  <c:v>0.0144</c:v>
                </c:pt>
                <c:pt idx="72">
                  <c:v>0.0144</c:v>
                </c:pt>
                <c:pt idx="73">
                  <c:v>0.0143</c:v>
                </c:pt>
                <c:pt idx="74">
                  <c:v>0.0143</c:v>
                </c:pt>
                <c:pt idx="75">
                  <c:v>0.0159</c:v>
                </c:pt>
                <c:pt idx="76">
                  <c:v>0.0159</c:v>
                </c:pt>
                <c:pt idx="77">
                  <c:v>0.0161</c:v>
                </c:pt>
                <c:pt idx="78">
                  <c:v>0.0161</c:v>
                </c:pt>
                <c:pt idx="79">
                  <c:v>0.0158</c:v>
                </c:pt>
                <c:pt idx="80">
                  <c:v>0.0158</c:v>
                </c:pt>
                <c:pt idx="81">
                  <c:v>0.0158</c:v>
                </c:pt>
                <c:pt idx="82">
                  <c:v>0.0159</c:v>
                </c:pt>
                <c:pt idx="83">
                  <c:v>0.0159</c:v>
                </c:pt>
                <c:pt idx="84">
                  <c:v>0.016</c:v>
                </c:pt>
                <c:pt idx="85">
                  <c:v>0.0163</c:v>
                </c:pt>
                <c:pt idx="86">
                  <c:v>0.0165</c:v>
                </c:pt>
                <c:pt idx="87">
                  <c:v>0.0165</c:v>
                </c:pt>
                <c:pt idx="88">
                  <c:v>0.0164</c:v>
                </c:pt>
                <c:pt idx="89">
                  <c:v>0.0164</c:v>
                </c:pt>
                <c:pt idx="90">
                  <c:v>0.0161</c:v>
                </c:pt>
                <c:pt idx="91">
                  <c:v>0.0158</c:v>
                </c:pt>
                <c:pt idx="92">
                  <c:v>0.0159</c:v>
                </c:pt>
                <c:pt idx="93">
                  <c:v>0.016</c:v>
                </c:pt>
                <c:pt idx="94">
                  <c:v>0.0159</c:v>
                </c:pt>
                <c:pt idx="95">
                  <c:v>0.0159</c:v>
                </c:pt>
                <c:pt idx="96">
                  <c:v>0.0165</c:v>
                </c:pt>
                <c:pt idx="97">
                  <c:v>0.0164</c:v>
                </c:pt>
                <c:pt idx="98">
                  <c:v>0.0163</c:v>
                </c:pt>
                <c:pt idx="99">
                  <c:v>0.0159</c:v>
                </c:pt>
                <c:pt idx="100">
                  <c:v>0.0158</c:v>
                </c:pt>
                <c:pt idx="101">
                  <c:v>0.0158</c:v>
                </c:pt>
                <c:pt idx="102">
                  <c:v>0.0158</c:v>
                </c:pt>
                <c:pt idx="103">
                  <c:v>0.016</c:v>
                </c:pt>
                <c:pt idx="104">
                  <c:v>0.0156000000000001</c:v>
                </c:pt>
                <c:pt idx="105">
                  <c:v>0.0150999999999999</c:v>
                </c:pt>
                <c:pt idx="106">
                  <c:v>0.0148999999999999</c:v>
                </c:pt>
                <c:pt idx="107">
                  <c:v>0.0152000000000001</c:v>
                </c:pt>
                <c:pt idx="108">
                  <c:v>0.0152000000000001</c:v>
                </c:pt>
                <c:pt idx="109">
                  <c:v>0.0150999999999999</c:v>
                </c:pt>
                <c:pt idx="110">
                  <c:v>0.0164</c:v>
                </c:pt>
                <c:pt idx="111">
                  <c:v>0.0157</c:v>
                </c:pt>
                <c:pt idx="112">
                  <c:v>0.0159</c:v>
                </c:pt>
                <c:pt idx="113">
                  <c:v>0.0158</c:v>
                </c:pt>
                <c:pt idx="114">
                  <c:v>0.0158</c:v>
                </c:pt>
                <c:pt idx="115">
                  <c:v>0.0158</c:v>
                </c:pt>
                <c:pt idx="116">
                  <c:v>0.0158</c:v>
                </c:pt>
                <c:pt idx="117">
                  <c:v>0.0162</c:v>
                </c:pt>
                <c:pt idx="118">
                  <c:v>0.016</c:v>
                </c:pt>
                <c:pt idx="119">
                  <c:v>0.0161</c:v>
                </c:pt>
                <c:pt idx="120">
                  <c:v>0.0164</c:v>
                </c:pt>
                <c:pt idx="121">
                  <c:v>0.0166999999999999</c:v>
                </c:pt>
                <c:pt idx="122">
                  <c:v>0.0165999999999999</c:v>
                </c:pt>
                <c:pt idx="123">
                  <c:v>0.0165999999999999</c:v>
                </c:pt>
                <c:pt idx="124">
                  <c:v>0.0172000000000001</c:v>
                </c:pt>
                <c:pt idx="125">
                  <c:v>0.0175000000000001</c:v>
                </c:pt>
                <c:pt idx="126">
                  <c:v>0.0177</c:v>
                </c:pt>
                <c:pt idx="127">
                  <c:v>0.0179</c:v>
                </c:pt>
                <c:pt idx="128">
                  <c:v>0.0185</c:v>
                </c:pt>
                <c:pt idx="129">
                  <c:v>0.0185</c:v>
                </c:pt>
                <c:pt idx="130">
                  <c:v>0.0185</c:v>
                </c:pt>
                <c:pt idx="131">
                  <c:v>0.0184</c:v>
                </c:pt>
                <c:pt idx="132">
                  <c:v>0.0184</c:v>
                </c:pt>
                <c:pt idx="133">
                  <c:v>0.0198</c:v>
                </c:pt>
                <c:pt idx="134">
                  <c:v>0.0204</c:v>
                </c:pt>
                <c:pt idx="135">
                  <c:v>0.0206999999999999</c:v>
                </c:pt>
                <c:pt idx="136">
                  <c:v>0.0206</c:v>
                </c:pt>
                <c:pt idx="137">
                  <c:v>0.0206</c:v>
                </c:pt>
                <c:pt idx="138">
                  <c:v>0.0212000000000001</c:v>
                </c:pt>
                <c:pt idx="139">
                  <c:v>0.0210999999999999</c:v>
                </c:pt>
                <c:pt idx="140">
                  <c:v>0.0214000000000001</c:v>
                </c:pt>
                <c:pt idx="141">
                  <c:v>0.0219</c:v>
                </c:pt>
                <c:pt idx="142">
                  <c:v>0.0223</c:v>
                </c:pt>
                <c:pt idx="143">
                  <c:v>0.0222</c:v>
                </c:pt>
                <c:pt idx="144">
                  <c:v>0.0222</c:v>
                </c:pt>
                <c:pt idx="145">
                  <c:v>0.0221</c:v>
                </c:pt>
                <c:pt idx="146">
                  <c:v>0.0223</c:v>
                </c:pt>
                <c:pt idx="147">
                  <c:v>0.0223</c:v>
                </c:pt>
                <c:pt idx="148">
                  <c:v>0.0225</c:v>
                </c:pt>
                <c:pt idx="149">
                  <c:v>0.0226999999999999</c:v>
                </c:pt>
                <c:pt idx="150">
                  <c:v>0.0226999999999999</c:v>
                </c:pt>
                <c:pt idx="151">
                  <c:v>0.0226999999999999</c:v>
                </c:pt>
                <c:pt idx="152">
                  <c:v>0.0234000000000001</c:v>
                </c:pt>
                <c:pt idx="153">
                  <c:v>0.0236000000000001</c:v>
                </c:pt>
                <c:pt idx="154">
                  <c:v>0.0238</c:v>
                </c:pt>
                <c:pt idx="155">
                  <c:v>0.0238</c:v>
                </c:pt>
                <c:pt idx="156">
                  <c:v>0.0241</c:v>
                </c:pt>
                <c:pt idx="157">
                  <c:v>0.0243</c:v>
                </c:pt>
                <c:pt idx="158">
                  <c:v>0.0243</c:v>
                </c:pt>
                <c:pt idx="159">
                  <c:v>0.0242</c:v>
                </c:pt>
                <c:pt idx="160">
                  <c:v>0.0242</c:v>
                </c:pt>
                <c:pt idx="161">
                  <c:v>0.0242</c:v>
                </c:pt>
                <c:pt idx="162">
                  <c:v>0.0253000000000001</c:v>
                </c:pt>
                <c:pt idx="163">
                  <c:v>0.0255000000000001</c:v>
                </c:pt>
                <c:pt idx="164">
                  <c:v>0.0255000000000001</c:v>
                </c:pt>
                <c:pt idx="165">
                  <c:v>0.0255000000000001</c:v>
                </c:pt>
                <c:pt idx="166">
                  <c:v>0.0263</c:v>
                </c:pt>
                <c:pt idx="167">
                  <c:v>0.0267999999999999</c:v>
                </c:pt>
                <c:pt idx="168">
                  <c:v>0.0266</c:v>
                </c:pt>
                <c:pt idx="169">
                  <c:v>0.0269999999999999</c:v>
                </c:pt>
                <c:pt idx="170">
                  <c:v>0.0269999999999999</c:v>
                </c:pt>
                <c:pt idx="171">
                  <c:v>0.0268999999999999</c:v>
                </c:pt>
                <c:pt idx="172">
                  <c:v>0.0268999999999999</c:v>
                </c:pt>
                <c:pt idx="173">
                  <c:v>0.0277000000000001</c:v>
                </c:pt>
                <c:pt idx="174">
                  <c:v>0.0281</c:v>
                </c:pt>
                <c:pt idx="175">
                  <c:v>0.0286999999999999</c:v>
                </c:pt>
                <c:pt idx="176">
                  <c:v>0.0289999999999999</c:v>
                </c:pt>
                <c:pt idx="177">
                  <c:v>0.0293000000000001</c:v>
                </c:pt>
                <c:pt idx="178">
                  <c:v>0.0293000000000001</c:v>
                </c:pt>
                <c:pt idx="179">
                  <c:v>0.0293000000000001</c:v>
                </c:pt>
                <c:pt idx="180">
                  <c:v>0.0301</c:v>
                </c:pt>
                <c:pt idx="181">
                  <c:v>0.0303</c:v>
                </c:pt>
                <c:pt idx="182">
                  <c:v>0.0305</c:v>
                </c:pt>
                <c:pt idx="183">
                  <c:v>0.0310999999999999</c:v>
                </c:pt>
                <c:pt idx="184">
                  <c:v>0.0313000000000001</c:v>
                </c:pt>
                <c:pt idx="185">
                  <c:v>0.0313000000000001</c:v>
                </c:pt>
                <c:pt idx="186">
                  <c:v>0.0313000000000001</c:v>
                </c:pt>
                <c:pt idx="187">
                  <c:v>0.0288999999999999</c:v>
                </c:pt>
                <c:pt idx="188">
                  <c:v>0.0286</c:v>
                </c:pt>
                <c:pt idx="189">
                  <c:v>0.0291999999999999</c:v>
                </c:pt>
                <c:pt idx="190">
                  <c:v>0.0289999999999999</c:v>
                </c:pt>
                <c:pt idx="191">
                  <c:v>0.0289999999999999</c:v>
                </c:pt>
                <c:pt idx="192">
                  <c:v>0.0289999999999999</c:v>
                </c:pt>
                <c:pt idx="193">
                  <c:v>0.0289999999999999</c:v>
                </c:pt>
                <c:pt idx="194">
                  <c:v>0.0290999999999999</c:v>
                </c:pt>
                <c:pt idx="195">
                  <c:v>0.0290999999999999</c:v>
                </c:pt>
                <c:pt idx="196">
                  <c:v>0.0287999999999999</c:v>
                </c:pt>
                <c:pt idx="197">
                  <c:v>0.0289999999999999</c:v>
                </c:pt>
                <c:pt idx="198">
                  <c:v>0.0291999999999999</c:v>
                </c:pt>
                <c:pt idx="199">
                  <c:v>0.0291999999999999</c:v>
                </c:pt>
                <c:pt idx="200">
                  <c:v>0.0291999999999999</c:v>
                </c:pt>
                <c:pt idx="201">
                  <c:v>0.0295000000000001</c:v>
                </c:pt>
                <c:pt idx="202">
                  <c:v>0.0296000000000001</c:v>
                </c:pt>
                <c:pt idx="203">
                  <c:v>0.0297000000000001</c:v>
                </c:pt>
                <c:pt idx="204">
                  <c:v>0.0299</c:v>
                </c:pt>
                <c:pt idx="205">
                  <c:v>0.0303</c:v>
                </c:pt>
                <c:pt idx="206">
                  <c:v>0.0303</c:v>
                </c:pt>
                <c:pt idx="207">
                  <c:v>0.0303</c:v>
                </c:pt>
                <c:pt idx="208">
                  <c:v>0.0318000000000001</c:v>
                </c:pt>
                <c:pt idx="209">
                  <c:v>0.0318000000000001</c:v>
                </c:pt>
                <c:pt idx="210">
                  <c:v>0.0306999999999999</c:v>
                </c:pt>
                <c:pt idx="211">
                  <c:v>0.0298</c:v>
                </c:pt>
                <c:pt idx="212">
                  <c:v>0.0286</c:v>
                </c:pt>
                <c:pt idx="213">
                  <c:v>0.0286</c:v>
                </c:pt>
                <c:pt idx="214">
                  <c:v>0.0285</c:v>
                </c:pt>
                <c:pt idx="215">
                  <c:v>0.0286999999999999</c:v>
                </c:pt>
                <c:pt idx="216">
                  <c:v>0.0286</c:v>
                </c:pt>
                <c:pt idx="217">
                  <c:v>0.0284</c:v>
                </c:pt>
                <c:pt idx="218">
                  <c:v>0.0284</c:v>
                </c:pt>
              </c:numCache>
            </c:numRef>
          </c:val>
          <c:smooth val="0"/>
        </c:ser>
        <c:ser>
          <c:idx val="1"/>
          <c:order val="1"/>
          <c:tx>
            <c:strRef>
              <c:f>[1年108期WB007560.xlsx]Sheet2!$C$1</c:f>
              <c:strCache>
                <c:ptCount val="1"/>
                <c:pt idx="0">
                  <c:v>业绩比较基准增长率（低）</c:v>
                </c:pt>
              </c:strCache>
            </c:strRef>
          </c:tx>
          <c:spPr>
            <a:ln w="28575" cap="rnd">
              <a:solidFill>
                <a:schemeClr val="accent2"/>
              </a:solidFill>
              <a:round/>
            </a:ln>
            <a:effectLst/>
          </c:spPr>
          <c:marker>
            <c:symbol val="none"/>
          </c:marker>
          <c:dLbls>
            <c:delete val="1"/>
          </c:dLbls>
          <c:cat>
            <c:numRef>
              <c:f>[1年108期WB007560.xlsx]Sheet2!$A$2:$A$220</c:f>
              <c:numCache>
                <c:formatCode>yyyy/m/d</c:formatCode>
                <c:ptCount val="219"/>
                <c:pt idx="0" c:formatCode="yyyy/m/d">
                  <c:v>44524</c:v>
                </c:pt>
                <c:pt idx="1" c:formatCode="yyyy/m/d">
                  <c:v>44525</c:v>
                </c:pt>
                <c:pt idx="2" c:formatCode="yyyy/m/d">
                  <c:v>44526</c:v>
                </c:pt>
                <c:pt idx="3" c:formatCode="yyyy/m/d">
                  <c:v>44527</c:v>
                </c:pt>
                <c:pt idx="4" c:formatCode="yyyy/m/d">
                  <c:v>44528</c:v>
                </c:pt>
                <c:pt idx="5" c:formatCode="yyyy/m/d">
                  <c:v>44529</c:v>
                </c:pt>
                <c:pt idx="6" c:formatCode="yyyy/m/d">
                  <c:v>44530</c:v>
                </c:pt>
                <c:pt idx="7" c:formatCode="yyyy/m/d">
                  <c:v>44531</c:v>
                </c:pt>
                <c:pt idx="8" c:formatCode="yyyy/m/d">
                  <c:v>44532</c:v>
                </c:pt>
                <c:pt idx="9" c:formatCode="yyyy/m/d">
                  <c:v>44533</c:v>
                </c:pt>
                <c:pt idx="10" c:formatCode="yyyy/m/d">
                  <c:v>44534</c:v>
                </c:pt>
                <c:pt idx="11" c:formatCode="yyyy/m/d">
                  <c:v>44535</c:v>
                </c:pt>
                <c:pt idx="12" c:formatCode="yyyy/m/d">
                  <c:v>44536</c:v>
                </c:pt>
                <c:pt idx="13" c:formatCode="yyyy/m/d">
                  <c:v>44537</c:v>
                </c:pt>
                <c:pt idx="14" c:formatCode="yyyy/m/d">
                  <c:v>44538</c:v>
                </c:pt>
                <c:pt idx="15" c:formatCode="yyyy/m/d">
                  <c:v>44539</c:v>
                </c:pt>
                <c:pt idx="16" c:formatCode="yyyy/m/d">
                  <c:v>44540</c:v>
                </c:pt>
                <c:pt idx="17" c:formatCode="yyyy/m/d">
                  <c:v>44541</c:v>
                </c:pt>
                <c:pt idx="18" c:formatCode="yyyy/m/d">
                  <c:v>44542</c:v>
                </c:pt>
                <c:pt idx="19" c:formatCode="yyyy/m/d">
                  <c:v>44543</c:v>
                </c:pt>
                <c:pt idx="20" c:formatCode="yyyy/m/d">
                  <c:v>44544</c:v>
                </c:pt>
                <c:pt idx="21" c:formatCode="yyyy/m/d">
                  <c:v>44545</c:v>
                </c:pt>
                <c:pt idx="22" c:formatCode="yyyy/m/d">
                  <c:v>44546</c:v>
                </c:pt>
                <c:pt idx="23" c:formatCode="yyyy/m/d">
                  <c:v>44547</c:v>
                </c:pt>
                <c:pt idx="24" c:formatCode="yyyy/m/d">
                  <c:v>44548</c:v>
                </c:pt>
                <c:pt idx="25" c:formatCode="yyyy/m/d">
                  <c:v>44549</c:v>
                </c:pt>
                <c:pt idx="26" c:formatCode="yyyy/m/d">
                  <c:v>44550</c:v>
                </c:pt>
                <c:pt idx="27" c:formatCode="yyyy/m/d">
                  <c:v>44551</c:v>
                </c:pt>
                <c:pt idx="28" c:formatCode="yyyy/m/d">
                  <c:v>44552</c:v>
                </c:pt>
                <c:pt idx="29" c:formatCode="yyyy/m/d">
                  <c:v>44553</c:v>
                </c:pt>
                <c:pt idx="30" c:formatCode="yyyy/m/d">
                  <c:v>44554</c:v>
                </c:pt>
                <c:pt idx="31" c:formatCode="yyyy/m/d">
                  <c:v>44555</c:v>
                </c:pt>
                <c:pt idx="32" c:formatCode="yyyy/m/d">
                  <c:v>44556</c:v>
                </c:pt>
                <c:pt idx="33" c:formatCode="yyyy/m/d">
                  <c:v>44557</c:v>
                </c:pt>
                <c:pt idx="34" c:formatCode="yyyy/m/d">
                  <c:v>44558</c:v>
                </c:pt>
                <c:pt idx="35" c:formatCode="yyyy/m/d">
                  <c:v>44559</c:v>
                </c:pt>
                <c:pt idx="36" c:formatCode="yyyy/m/d">
                  <c:v>44560</c:v>
                </c:pt>
                <c:pt idx="37" c:formatCode="yyyy/m/d">
                  <c:v>44561</c:v>
                </c:pt>
                <c:pt idx="38" c:formatCode="yyyy/m/d">
                  <c:v>44562</c:v>
                </c:pt>
                <c:pt idx="39" c:formatCode="yyyy/m/d">
                  <c:v>44563</c:v>
                </c:pt>
                <c:pt idx="40" c:formatCode="yyyy/m/d">
                  <c:v>44564</c:v>
                </c:pt>
                <c:pt idx="41" c:formatCode="yyyy/m/d">
                  <c:v>44565</c:v>
                </c:pt>
                <c:pt idx="42" c:formatCode="yyyy/m/d">
                  <c:v>44566</c:v>
                </c:pt>
                <c:pt idx="43" c:formatCode="yyyy/m/d">
                  <c:v>44567</c:v>
                </c:pt>
                <c:pt idx="44" c:formatCode="yyyy/m/d">
                  <c:v>44568</c:v>
                </c:pt>
                <c:pt idx="45" c:formatCode="yyyy/m/d">
                  <c:v>44569</c:v>
                </c:pt>
                <c:pt idx="46" c:formatCode="yyyy/m/d">
                  <c:v>44570</c:v>
                </c:pt>
                <c:pt idx="47" c:formatCode="yyyy/m/d">
                  <c:v>44571</c:v>
                </c:pt>
                <c:pt idx="48" c:formatCode="yyyy/m/d">
                  <c:v>44572</c:v>
                </c:pt>
                <c:pt idx="49" c:formatCode="yyyy/m/d">
                  <c:v>44573</c:v>
                </c:pt>
                <c:pt idx="50" c:formatCode="yyyy/m/d">
                  <c:v>44574</c:v>
                </c:pt>
                <c:pt idx="51" c:formatCode="yyyy/m/d">
                  <c:v>44575</c:v>
                </c:pt>
                <c:pt idx="52" c:formatCode="yyyy/m/d">
                  <c:v>44576</c:v>
                </c:pt>
                <c:pt idx="53" c:formatCode="yyyy/m/d">
                  <c:v>44577</c:v>
                </c:pt>
                <c:pt idx="54" c:formatCode="yyyy/m/d">
                  <c:v>44578</c:v>
                </c:pt>
                <c:pt idx="55" c:formatCode="yyyy/m/d">
                  <c:v>44579</c:v>
                </c:pt>
                <c:pt idx="56" c:formatCode="yyyy/m/d">
                  <c:v>44580</c:v>
                </c:pt>
                <c:pt idx="57" c:formatCode="yyyy/m/d">
                  <c:v>44581</c:v>
                </c:pt>
                <c:pt idx="58" c:formatCode="yyyy/m/d">
                  <c:v>44582</c:v>
                </c:pt>
                <c:pt idx="59" c:formatCode="yyyy/m/d">
                  <c:v>44583</c:v>
                </c:pt>
                <c:pt idx="60" c:formatCode="yyyy/m/d">
                  <c:v>44584</c:v>
                </c:pt>
                <c:pt idx="61" c:formatCode="yyyy/m/d">
                  <c:v>44585</c:v>
                </c:pt>
                <c:pt idx="62" c:formatCode="yyyy/m/d">
                  <c:v>44586</c:v>
                </c:pt>
                <c:pt idx="63" c:formatCode="yyyy/m/d">
                  <c:v>44587</c:v>
                </c:pt>
                <c:pt idx="64" c:formatCode="yyyy/m/d">
                  <c:v>44588</c:v>
                </c:pt>
                <c:pt idx="65" c:formatCode="yyyy/m/d">
                  <c:v>44589</c:v>
                </c:pt>
                <c:pt idx="66" c:formatCode="yyyy/m/d">
                  <c:v>44590</c:v>
                </c:pt>
                <c:pt idx="67" c:formatCode="yyyy/m/d">
                  <c:v>44591</c:v>
                </c:pt>
                <c:pt idx="68" c:formatCode="yyyy/m/d">
                  <c:v>44592</c:v>
                </c:pt>
                <c:pt idx="69" c:formatCode="yyyy/m/d">
                  <c:v>44593</c:v>
                </c:pt>
                <c:pt idx="70" c:formatCode="yyyy/m/d">
                  <c:v>44594</c:v>
                </c:pt>
                <c:pt idx="71" c:formatCode="yyyy/m/d">
                  <c:v>44595</c:v>
                </c:pt>
                <c:pt idx="72" c:formatCode="yyyy/m/d">
                  <c:v>44596</c:v>
                </c:pt>
                <c:pt idx="73" c:formatCode="yyyy/m/d">
                  <c:v>44597</c:v>
                </c:pt>
                <c:pt idx="74" c:formatCode="yyyy/m/d">
                  <c:v>44598</c:v>
                </c:pt>
                <c:pt idx="75" c:formatCode="yyyy/m/d">
                  <c:v>44599</c:v>
                </c:pt>
                <c:pt idx="76" c:formatCode="yyyy/m/d">
                  <c:v>44600</c:v>
                </c:pt>
                <c:pt idx="77" c:formatCode="yyyy/m/d">
                  <c:v>44601</c:v>
                </c:pt>
                <c:pt idx="78" c:formatCode="yyyy/m/d">
                  <c:v>44602</c:v>
                </c:pt>
                <c:pt idx="79" c:formatCode="yyyy/m/d">
                  <c:v>44603</c:v>
                </c:pt>
                <c:pt idx="80" c:formatCode="yyyy/m/d">
                  <c:v>44604</c:v>
                </c:pt>
                <c:pt idx="81" c:formatCode="yyyy/m/d">
                  <c:v>44605</c:v>
                </c:pt>
                <c:pt idx="82" c:formatCode="yyyy/m/d">
                  <c:v>44606</c:v>
                </c:pt>
                <c:pt idx="83" c:formatCode="yyyy/m/d">
                  <c:v>44607</c:v>
                </c:pt>
                <c:pt idx="84" c:formatCode="yyyy/m/d">
                  <c:v>44608</c:v>
                </c:pt>
                <c:pt idx="85" c:formatCode="yyyy/m/d">
                  <c:v>44609</c:v>
                </c:pt>
                <c:pt idx="86" c:formatCode="yyyy/m/d">
                  <c:v>44610</c:v>
                </c:pt>
                <c:pt idx="87" c:formatCode="yyyy/m/d">
                  <c:v>44611</c:v>
                </c:pt>
                <c:pt idx="88" c:formatCode="yyyy/m/d">
                  <c:v>44612</c:v>
                </c:pt>
                <c:pt idx="89" c:formatCode="yyyy/m/d">
                  <c:v>44613</c:v>
                </c:pt>
                <c:pt idx="90" c:formatCode="yyyy/m/d">
                  <c:v>44614</c:v>
                </c:pt>
                <c:pt idx="91" c:formatCode="yyyy/m/d">
                  <c:v>44615</c:v>
                </c:pt>
                <c:pt idx="92" c:formatCode="yyyy/m/d">
                  <c:v>44616</c:v>
                </c:pt>
                <c:pt idx="93" c:formatCode="yyyy/m/d">
                  <c:v>44617</c:v>
                </c:pt>
                <c:pt idx="94" c:formatCode="yyyy/m/d">
                  <c:v>44618</c:v>
                </c:pt>
                <c:pt idx="95" c:formatCode="yyyy/m/d">
                  <c:v>44619</c:v>
                </c:pt>
                <c:pt idx="96" c:formatCode="yyyy/m/d">
                  <c:v>44620</c:v>
                </c:pt>
                <c:pt idx="97" c:formatCode="yyyy/m/d">
                  <c:v>44621</c:v>
                </c:pt>
                <c:pt idx="98" c:formatCode="yyyy/m/d">
                  <c:v>44622</c:v>
                </c:pt>
                <c:pt idx="99" c:formatCode="yyyy/m/d">
                  <c:v>44623</c:v>
                </c:pt>
                <c:pt idx="100" c:formatCode="yyyy/m/d">
                  <c:v>44624</c:v>
                </c:pt>
                <c:pt idx="101" c:formatCode="yyyy/m/d">
                  <c:v>44625</c:v>
                </c:pt>
                <c:pt idx="102" c:formatCode="yyyy/m/d">
                  <c:v>44626</c:v>
                </c:pt>
                <c:pt idx="103" c:formatCode="yyyy/m/d">
                  <c:v>44627</c:v>
                </c:pt>
                <c:pt idx="104" c:formatCode="yyyy/m/d">
                  <c:v>44628</c:v>
                </c:pt>
                <c:pt idx="105" c:formatCode="yyyy/m/d">
                  <c:v>44629</c:v>
                </c:pt>
                <c:pt idx="106" c:formatCode="yyyy/m/d">
                  <c:v>44630</c:v>
                </c:pt>
                <c:pt idx="107" c:formatCode="yyyy/m/d">
                  <c:v>44631</c:v>
                </c:pt>
                <c:pt idx="108" c:formatCode="yyyy/m/d">
                  <c:v>44632</c:v>
                </c:pt>
                <c:pt idx="109" c:formatCode="yyyy/m/d">
                  <c:v>44633</c:v>
                </c:pt>
                <c:pt idx="110" c:formatCode="yyyy/m/d">
                  <c:v>44634</c:v>
                </c:pt>
                <c:pt idx="111" c:formatCode="yyyy/m/d">
                  <c:v>44635</c:v>
                </c:pt>
                <c:pt idx="112" c:formatCode="yyyy/m/d">
                  <c:v>44636</c:v>
                </c:pt>
                <c:pt idx="113" c:formatCode="yyyy/m/d">
                  <c:v>44637</c:v>
                </c:pt>
                <c:pt idx="114" c:formatCode="yyyy/m/d">
                  <c:v>44638</c:v>
                </c:pt>
                <c:pt idx="115" c:formatCode="yyyy/m/d">
                  <c:v>44639</c:v>
                </c:pt>
                <c:pt idx="116" c:formatCode="yyyy/m/d">
                  <c:v>44640</c:v>
                </c:pt>
                <c:pt idx="117" c:formatCode="yyyy/m/d">
                  <c:v>44641</c:v>
                </c:pt>
                <c:pt idx="118" c:formatCode="yyyy/m/d">
                  <c:v>44642</c:v>
                </c:pt>
                <c:pt idx="119" c:formatCode="yyyy/m/d">
                  <c:v>44643</c:v>
                </c:pt>
                <c:pt idx="120" c:formatCode="yyyy/m/d">
                  <c:v>44644</c:v>
                </c:pt>
                <c:pt idx="121" c:formatCode="yyyy/m/d">
                  <c:v>44645</c:v>
                </c:pt>
                <c:pt idx="122" c:formatCode="yyyy/m/d">
                  <c:v>44646</c:v>
                </c:pt>
                <c:pt idx="123" c:formatCode="yyyy/m/d">
                  <c:v>44647</c:v>
                </c:pt>
                <c:pt idx="124" c:formatCode="yyyy/m/d">
                  <c:v>44648</c:v>
                </c:pt>
                <c:pt idx="125" c:formatCode="yyyy/m/d">
                  <c:v>44649</c:v>
                </c:pt>
                <c:pt idx="126" c:formatCode="yyyy/m/d">
                  <c:v>44650</c:v>
                </c:pt>
                <c:pt idx="127" c:formatCode="yyyy/m/d">
                  <c:v>44651</c:v>
                </c:pt>
                <c:pt idx="128" c:formatCode="yyyy/m/d">
                  <c:v>44652</c:v>
                </c:pt>
                <c:pt idx="129" c:formatCode="yyyy/m/d">
                  <c:v>44653</c:v>
                </c:pt>
                <c:pt idx="130" c:formatCode="yyyy/m/d">
                  <c:v>44654</c:v>
                </c:pt>
                <c:pt idx="131" c:formatCode="yyyy/m/d">
                  <c:v>44655</c:v>
                </c:pt>
                <c:pt idx="132" c:formatCode="yyyy/m/d">
                  <c:v>44656</c:v>
                </c:pt>
                <c:pt idx="133" c:formatCode="yyyy/m/d">
                  <c:v>44657</c:v>
                </c:pt>
                <c:pt idx="134" c:formatCode="yyyy/m/d">
                  <c:v>44658</c:v>
                </c:pt>
                <c:pt idx="135" c:formatCode="yyyy/m/d">
                  <c:v>44659</c:v>
                </c:pt>
                <c:pt idx="136" c:formatCode="yyyy/m/d">
                  <c:v>44660</c:v>
                </c:pt>
                <c:pt idx="137" c:formatCode="yyyy/m/d">
                  <c:v>44661</c:v>
                </c:pt>
                <c:pt idx="138" c:formatCode="yyyy/m/d">
                  <c:v>44662</c:v>
                </c:pt>
                <c:pt idx="139" c:formatCode="yyyy/m/d">
                  <c:v>44663</c:v>
                </c:pt>
                <c:pt idx="140" c:formatCode="yyyy/m/d">
                  <c:v>44664</c:v>
                </c:pt>
                <c:pt idx="141" c:formatCode="yyyy/m/d">
                  <c:v>44665</c:v>
                </c:pt>
                <c:pt idx="142" c:formatCode="yyyy/m/d">
                  <c:v>44666</c:v>
                </c:pt>
                <c:pt idx="143" c:formatCode="yyyy/m/d">
                  <c:v>44667</c:v>
                </c:pt>
                <c:pt idx="144" c:formatCode="yyyy/m/d">
                  <c:v>44668</c:v>
                </c:pt>
                <c:pt idx="145" c:formatCode="yyyy/m/d">
                  <c:v>44669</c:v>
                </c:pt>
                <c:pt idx="146" c:formatCode="yyyy/m/d">
                  <c:v>44670</c:v>
                </c:pt>
                <c:pt idx="147" c:formatCode="yyyy/m/d">
                  <c:v>44671</c:v>
                </c:pt>
                <c:pt idx="148" c:formatCode="yyyy/m/d">
                  <c:v>44672</c:v>
                </c:pt>
                <c:pt idx="149" c:formatCode="yyyy/m/d">
                  <c:v>44673</c:v>
                </c:pt>
                <c:pt idx="150" c:formatCode="yyyy/m/d">
                  <c:v>44674</c:v>
                </c:pt>
                <c:pt idx="151" c:formatCode="yyyy/m/d">
                  <c:v>44675</c:v>
                </c:pt>
                <c:pt idx="152" c:formatCode="yyyy/m/d">
                  <c:v>44676</c:v>
                </c:pt>
                <c:pt idx="153" c:formatCode="yyyy/m/d">
                  <c:v>44677</c:v>
                </c:pt>
                <c:pt idx="154" c:formatCode="yyyy/m/d">
                  <c:v>44678</c:v>
                </c:pt>
                <c:pt idx="155" c:formatCode="yyyy/m/d">
                  <c:v>44679</c:v>
                </c:pt>
                <c:pt idx="156" c:formatCode="yyyy/m/d">
                  <c:v>44680</c:v>
                </c:pt>
                <c:pt idx="157" c:formatCode="yyyy/m/d">
                  <c:v>44681</c:v>
                </c:pt>
                <c:pt idx="158" c:formatCode="yyyy/m/d">
                  <c:v>44682</c:v>
                </c:pt>
                <c:pt idx="159" c:formatCode="yyyy/m/d">
                  <c:v>44683</c:v>
                </c:pt>
                <c:pt idx="160" c:formatCode="yyyy/m/d">
                  <c:v>44684</c:v>
                </c:pt>
                <c:pt idx="161" c:formatCode="yyyy/m/d">
                  <c:v>44685</c:v>
                </c:pt>
                <c:pt idx="162" c:formatCode="yyyy/m/d">
                  <c:v>44686</c:v>
                </c:pt>
                <c:pt idx="163" c:formatCode="yyyy/m/d">
                  <c:v>44687</c:v>
                </c:pt>
                <c:pt idx="164" c:formatCode="yyyy/m/d">
                  <c:v>44688</c:v>
                </c:pt>
                <c:pt idx="165" c:formatCode="yyyy/m/d">
                  <c:v>44689</c:v>
                </c:pt>
                <c:pt idx="166" c:formatCode="yyyy/m/d">
                  <c:v>44690</c:v>
                </c:pt>
                <c:pt idx="167" c:formatCode="yyyy/m/d">
                  <c:v>44691</c:v>
                </c:pt>
                <c:pt idx="168" c:formatCode="yyyy/m/d">
                  <c:v>44692</c:v>
                </c:pt>
                <c:pt idx="169" c:formatCode="yyyy/m/d">
                  <c:v>44693</c:v>
                </c:pt>
                <c:pt idx="170" c:formatCode="yyyy/m/d">
                  <c:v>44694</c:v>
                </c:pt>
                <c:pt idx="171" c:formatCode="yyyy/m/d">
                  <c:v>44695</c:v>
                </c:pt>
                <c:pt idx="172" c:formatCode="yyyy/m/d">
                  <c:v>44696</c:v>
                </c:pt>
                <c:pt idx="173" c:formatCode="yyyy/m/d">
                  <c:v>44697</c:v>
                </c:pt>
                <c:pt idx="174" c:formatCode="yyyy/m/d">
                  <c:v>44698</c:v>
                </c:pt>
                <c:pt idx="175" c:formatCode="yyyy/m/d">
                  <c:v>44699</c:v>
                </c:pt>
                <c:pt idx="176" c:formatCode="yyyy/m/d">
                  <c:v>44700</c:v>
                </c:pt>
                <c:pt idx="177" c:formatCode="yyyy/m/d">
                  <c:v>44701</c:v>
                </c:pt>
                <c:pt idx="178" c:formatCode="yyyy/m/d">
                  <c:v>44702</c:v>
                </c:pt>
                <c:pt idx="179" c:formatCode="yyyy/m/d">
                  <c:v>44703</c:v>
                </c:pt>
                <c:pt idx="180" c:formatCode="yyyy/m/d">
                  <c:v>44704</c:v>
                </c:pt>
                <c:pt idx="181" c:formatCode="yyyy/m/d">
                  <c:v>44705</c:v>
                </c:pt>
                <c:pt idx="182" c:formatCode="yyyy/m/d">
                  <c:v>44706</c:v>
                </c:pt>
                <c:pt idx="183" c:formatCode="yyyy/m/d">
                  <c:v>44707</c:v>
                </c:pt>
                <c:pt idx="184" c:formatCode="yyyy/m/d">
                  <c:v>44708</c:v>
                </c:pt>
                <c:pt idx="185" c:formatCode="yyyy/m/d">
                  <c:v>44709</c:v>
                </c:pt>
                <c:pt idx="186" c:formatCode="yyyy/m/d">
                  <c:v>44710</c:v>
                </c:pt>
                <c:pt idx="187" c:formatCode="yyyy/m/d">
                  <c:v>44711</c:v>
                </c:pt>
                <c:pt idx="188" c:formatCode="yyyy/m/d">
                  <c:v>44712</c:v>
                </c:pt>
                <c:pt idx="189" c:formatCode="yyyy/m/d">
                  <c:v>44713</c:v>
                </c:pt>
                <c:pt idx="190" c:formatCode="yyyy/m/d">
                  <c:v>44714</c:v>
                </c:pt>
                <c:pt idx="191" c:formatCode="yyyy/m/d">
                  <c:v>44715</c:v>
                </c:pt>
                <c:pt idx="192" c:formatCode="yyyy/m/d">
                  <c:v>44716</c:v>
                </c:pt>
                <c:pt idx="193" c:formatCode="yyyy/m/d">
                  <c:v>44717</c:v>
                </c:pt>
                <c:pt idx="194" c:formatCode="yyyy/m/d">
                  <c:v>44718</c:v>
                </c:pt>
                <c:pt idx="195" c:formatCode="yyyy/m/d">
                  <c:v>44719</c:v>
                </c:pt>
                <c:pt idx="196" c:formatCode="yyyy/m/d">
                  <c:v>44720</c:v>
                </c:pt>
                <c:pt idx="197" c:formatCode="yyyy/m/d">
                  <c:v>44721</c:v>
                </c:pt>
                <c:pt idx="198" c:formatCode="yyyy/m/d">
                  <c:v>44722</c:v>
                </c:pt>
                <c:pt idx="199" c:formatCode="yyyy/m/d">
                  <c:v>44723</c:v>
                </c:pt>
                <c:pt idx="200" c:formatCode="yyyy/m/d">
                  <c:v>44724</c:v>
                </c:pt>
                <c:pt idx="201" c:formatCode="yyyy/m/d">
                  <c:v>44725</c:v>
                </c:pt>
                <c:pt idx="202" c:formatCode="yyyy/m/d">
                  <c:v>44726</c:v>
                </c:pt>
                <c:pt idx="203" c:formatCode="yyyy/m/d">
                  <c:v>44727</c:v>
                </c:pt>
                <c:pt idx="204" c:formatCode="yyyy/m/d">
                  <c:v>44728</c:v>
                </c:pt>
                <c:pt idx="205" c:formatCode="yyyy/m/d">
                  <c:v>44729</c:v>
                </c:pt>
                <c:pt idx="206" c:formatCode="yyyy/m/d">
                  <c:v>44730</c:v>
                </c:pt>
                <c:pt idx="207" c:formatCode="yyyy/m/d">
                  <c:v>44731</c:v>
                </c:pt>
                <c:pt idx="208" c:formatCode="yyyy/m/d">
                  <c:v>44732</c:v>
                </c:pt>
                <c:pt idx="209" c:formatCode="yyyy/m/d">
                  <c:v>44733</c:v>
                </c:pt>
                <c:pt idx="210" c:formatCode="yyyy/m/d">
                  <c:v>44734</c:v>
                </c:pt>
                <c:pt idx="211" c:formatCode="yyyy/m/d">
                  <c:v>44735</c:v>
                </c:pt>
                <c:pt idx="212" c:formatCode="yyyy/m/d">
                  <c:v>44736</c:v>
                </c:pt>
                <c:pt idx="213" c:formatCode="yyyy/m/d">
                  <c:v>44737</c:v>
                </c:pt>
                <c:pt idx="214" c:formatCode="yyyy/m/d">
                  <c:v>44738</c:v>
                </c:pt>
                <c:pt idx="215" c:formatCode="yyyy/m/d">
                  <c:v>44739</c:v>
                </c:pt>
                <c:pt idx="216" c:formatCode="yyyy/m/d">
                  <c:v>44740</c:v>
                </c:pt>
                <c:pt idx="217" c:formatCode="yyyy/m/d">
                  <c:v>44741</c:v>
                </c:pt>
                <c:pt idx="218" c:formatCode="yyyy/m/d">
                  <c:v>44742</c:v>
                </c:pt>
              </c:numCache>
            </c:numRef>
          </c:cat>
          <c:val>
            <c:numRef>
              <c:f>[1年108期WB007560.xlsx]Sheet2!$C$2:$C$220</c:f>
              <c:numCache>
                <c:formatCode>General</c:formatCode>
                <c:ptCount val="219"/>
                <c:pt idx="0">
                  <c:v>0.000257534246575342</c:v>
                </c:pt>
                <c:pt idx="1">
                  <c:v>0.000386301369863014</c:v>
                </c:pt>
                <c:pt idx="2">
                  <c:v>0.000515068493150685</c:v>
                </c:pt>
                <c:pt idx="3">
                  <c:v>0.000643835616438356</c:v>
                </c:pt>
                <c:pt idx="4">
                  <c:v>0.000772602739726027</c:v>
                </c:pt>
                <c:pt idx="5">
                  <c:v>0.000901369863013699</c:v>
                </c:pt>
                <c:pt idx="6">
                  <c:v>0.00103013698630137</c:v>
                </c:pt>
                <c:pt idx="7">
                  <c:v>0.00115890410958904</c:v>
                </c:pt>
                <c:pt idx="8">
                  <c:v>0.00128767123287671</c:v>
                </c:pt>
                <c:pt idx="9">
                  <c:v>0.00141643835616438</c:v>
                </c:pt>
                <c:pt idx="10">
                  <c:v>0.00154520547945205</c:v>
                </c:pt>
                <c:pt idx="11">
                  <c:v>0.00167397260273973</c:v>
                </c:pt>
                <c:pt idx="12">
                  <c:v>0.0018027397260274</c:v>
                </c:pt>
                <c:pt idx="13">
                  <c:v>0.00193150684931507</c:v>
                </c:pt>
                <c:pt idx="14">
                  <c:v>0.00206027397260274</c:v>
                </c:pt>
                <c:pt idx="15">
                  <c:v>0.00218904109589041</c:v>
                </c:pt>
                <c:pt idx="16">
                  <c:v>0.00231780821917808</c:v>
                </c:pt>
                <c:pt idx="17">
                  <c:v>0.00244657534246575</c:v>
                </c:pt>
                <c:pt idx="18">
                  <c:v>0.00257534246575342</c:v>
                </c:pt>
                <c:pt idx="19">
                  <c:v>0.0027041095890411</c:v>
                </c:pt>
                <c:pt idx="20">
                  <c:v>0.00283287671232877</c:v>
                </c:pt>
                <c:pt idx="21">
                  <c:v>0.00296164383561644</c:v>
                </c:pt>
                <c:pt idx="22">
                  <c:v>0.00309041095890411</c:v>
                </c:pt>
                <c:pt idx="23">
                  <c:v>0.00321917808219178</c:v>
                </c:pt>
                <c:pt idx="24">
                  <c:v>0.00334794520547945</c:v>
                </c:pt>
                <c:pt idx="25">
                  <c:v>0.00347671232876712</c:v>
                </c:pt>
                <c:pt idx="26">
                  <c:v>0.00360547945205479</c:v>
                </c:pt>
                <c:pt idx="27">
                  <c:v>0.00373424657534247</c:v>
                </c:pt>
                <c:pt idx="28">
                  <c:v>0.00386301369863014</c:v>
                </c:pt>
                <c:pt idx="29">
                  <c:v>0.00399178082191781</c:v>
                </c:pt>
                <c:pt idx="30">
                  <c:v>0.00412054794520548</c:v>
                </c:pt>
                <c:pt idx="31">
                  <c:v>0.00424931506849315</c:v>
                </c:pt>
                <c:pt idx="32">
                  <c:v>0.00437808219178082</c:v>
                </c:pt>
                <c:pt idx="33">
                  <c:v>0.00450684931506849</c:v>
                </c:pt>
                <c:pt idx="34">
                  <c:v>0.00463561643835616</c:v>
                </c:pt>
                <c:pt idx="35">
                  <c:v>0.00476438356164384</c:v>
                </c:pt>
                <c:pt idx="36">
                  <c:v>0.00489315068493151</c:v>
                </c:pt>
                <c:pt idx="37">
                  <c:v>0.00502191780821918</c:v>
                </c:pt>
                <c:pt idx="38">
                  <c:v>0.00515068493150685</c:v>
                </c:pt>
                <c:pt idx="39">
                  <c:v>0.00527945205479452</c:v>
                </c:pt>
                <c:pt idx="40">
                  <c:v>0.00540821917808219</c:v>
                </c:pt>
                <c:pt idx="41">
                  <c:v>0.00553698630136986</c:v>
                </c:pt>
                <c:pt idx="42">
                  <c:v>0.00566575342465753</c:v>
                </c:pt>
                <c:pt idx="43">
                  <c:v>0.00579452054794521</c:v>
                </c:pt>
                <c:pt idx="44">
                  <c:v>0.00592328767123288</c:v>
                </c:pt>
                <c:pt idx="45">
                  <c:v>0.00605205479452055</c:v>
                </c:pt>
                <c:pt idx="46">
                  <c:v>0.00618082191780822</c:v>
                </c:pt>
                <c:pt idx="47">
                  <c:v>0.00630958904109589</c:v>
                </c:pt>
                <c:pt idx="48">
                  <c:v>0.00643835616438356</c:v>
                </c:pt>
                <c:pt idx="49">
                  <c:v>0.00656712328767123</c:v>
                </c:pt>
                <c:pt idx="50">
                  <c:v>0.0066958904109589</c:v>
                </c:pt>
                <c:pt idx="51">
                  <c:v>0.00682465753424658</c:v>
                </c:pt>
                <c:pt idx="52">
                  <c:v>0.00695342465753425</c:v>
                </c:pt>
                <c:pt idx="53">
                  <c:v>0.00708219178082192</c:v>
                </c:pt>
                <c:pt idx="54">
                  <c:v>0.00721095890410959</c:v>
                </c:pt>
                <c:pt idx="55">
                  <c:v>0.00733972602739726</c:v>
                </c:pt>
                <c:pt idx="56">
                  <c:v>0.00746849315068493</c:v>
                </c:pt>
                <c:pt idx="57">
                  <c:v>0.0075972602739726</c:v>
                </c:pt>
                <c:pt idx="58">
                  <c:v>0.00772602739726027</c:v>
                </c:pt>
                <c:pt idx="59">
                  <c:v>0.00785479452054795</c:v>
                </c:pt>
                <c:pt idx="60">
                  <c:v>0.00798356164383562</c:v>
                </c:pt>
                <c:pt idx="61">
                  <c:v>0.00811232876712329</c:v>
                </c:pt>
                <c:pt idx="62">
                  <c:v>0.00824109589041096</c:v>
                </c:pt>
                <c:pt idx="63">
                  <c:v>0.00836986301369863</c:v>
                </c:pt>
                <c:pt idx="64">
                  <c:v>0.0084986301369863</c:v>
                </c:pt>
                <c:pt idx="65">
                  <c:v>0.00862739726027397</c:v>
                </c:pt>
                <c:pt idx="66">
                  <c:v>0.00875616438356164</c:v>
                </c:pt>
                <c:pt idx="67">
                  <c:v>0.00888493150684931</c:v>
                </c:pt>
                <c:pt idx="68">
                  <c:v>0.00901369863013699</c:v>
                </c:pt>
                <c:pt idx="69">
                  <c:v>0.00914246575342466</c:v>
                </c:pt>
                <c:pt idx="70">
                  <c:v>0.00927123287671233</c:v>
                </c:pt>
                <c:pt idx="71">
                  <c:v>0.0094</c:v>
                </c:pt>
                <c:pt idx="72">
                  <c:v>0.00952876712328767</c:v>
                </c:pt>
                <c:pt idx="73">
                  <c:v>0.00965753424657534</c:v>
                </c:pt>
                <c:pt idx="74">
                  <c:v>0.00978630136986301</c:v>
                </c:pt>
                <c:pt idx="75">
                  <c:v>0.00991506849315068</c:v>
                </c:pt>
                <c:pt idx="76">
                  <c:v>0.0100438356164384</c:v>
                </c:pt>
                <c:pt idx="77">
                  <c:v>0.010172602739726</c:v>
                </c:pt>
                <c:pt idx="78">
                  <c:v>0.0103013698630137</c:v>
                </c:pt>
                <c:pt idx="79">
                  <c:v>0.0104301369863014</c:v>
                </c:pt>
                <c:pt idx="80">
                  <c:v>0.010558904109589</c:v>
                </c:pt>
                <c:pt idx="81">
                  <c:v>0.0106876712328767</c:v>
                </c:pt>
                <c:pt idx="82">
                  <c:v>0.0108164383561644</c:v>
                </c:pt>
                <c:pt idx="83">
                  <c:v>0.0109452054794521</c:v>
                </c:pt>
                <c:pt idx="84">
                  <c:v>0.0110739726027397</c:v>
                </c:pt>
                <c:pt idx="85">
                  <c:v>0.0112027397260274</c:v>
                </c:pt>
                <c:pt idx="86">
                  <c:v>0.0113315068493151</c:v>
                </c:pt>
                <c:pt idx="87">
                  <c:v>0.0114602739726027</c:v>
                </c:pt>
                <c:pt idx="88">
                  <c:v>0.0115890410958904</c:v>
                </c:pt>
                <c:pt idx="89">
                  <c:v>0.0117178082191781</c:v>
                </c:pt>
                <c:pt idx="90">
                  <c:v>0.0118465753424658</c:v>
                </c:pt>
                <c:pt idx="91">
                  <c:v>0.0119753424657534</c:v>
                </c:pt>
                <c:pt idx="92">
                  <c:v>0.0121041095890411</c:v>
                </c:pt>
                <c:pt idx="93">
                  <c:v>0.0122328767123288</c:v>
                </c:pt>
                <c:pt idx="94">
                  <c:v>0.0123616438356164</c:v>
                </c:pt>
                <c:pt idx="95">
                  <c:v>0.0124904109589041</c:v>
                </c:pt>
                <c:pt idx="96">
                  <c:v>0.0126191780821918</c:v>
                </c:pt>
                <c:pt idx="97">
                  <c:v>0.0127479452054795</c:v>
                </c:pt>
                <c:pt idx="98">
                  <c:v>0.0128767123287671</c:v>
                </c:pt>
                <c:pt idx="99">
                  <c:v>0.0130054794520548</c:v>
                </c:pt>
                <c:pt idx="100">
                  <c:v>0.0131342465753425</c:v>
                </c:pt>
                <c:pt idx="101">
                  <c:v>0.0132630136986301</c:v>
                </c:pt>
                <c:pt idx="102">
                  <c:v>0.0133917808219178</c:v>
                </c:pt>
                <c:pt idx="103">
                  <c:v>0.0135205479452055</c:v>
                </c:pt>
                <c:pt idx="104">
                  <c:v>0.0136493150684932</c:v>
                </c:pt>
                <c:pt idx="105">
                  <c:v>0.0137780821917808</c:v>
                </c:pt>
                <c:pt idx="106">
                  <c:v>0.0139068493150685</c:v>
                </c:pt>
                <c:pt idx="107">
                  <c:v>0.0140356164383562</c:v>
                </c:pt>
                <c:pt idx="108">
                  <c:v>0.0141643835616438</c:v>
                </c:pt>
                <c:pt idx="109">
                  <c:v>0.0142931506849315</c:v>
                </c:pt>
                <c:pt idx="110">
                  <c:v>0.0144219178082192</c:v>
                </c:pt>
                <c:pt idx="111">
                  <c:v>0.0145506849315068</c:v>
                </c:pt>
                <c:pt idx="112">
                  <c:v>0.0146794520547945</c:v>
                </c:pt>
                <c:pt idx="113">
                  <c:v>0.0148082191780822</c:v>
                </c:pt>
                <c:pt idx="114">
                  <c:v>0.0149369863013699</c:v>
                </c:pt>
                <c:pt idx="115">
                  <c:v>0.0150657534246575</c:v>
                </c:pt>
                <c:pt idx="116">
                  <c:v>0.0151945205479452</c:v>
                </c:pt>
                <c:pt idx="117">
                  <c:v>0.0153232876712329</c:v>
                </c:pt>
                <c:pt idx="118">
                  <c:v>0.0154520547945205</c:v>
                </c:pt>
                <c:pt idx="119">
                  <c:v>0.0155808219178082</c:v>
                </c:pt>
                <c:pt idx="120">
                  <c:v>0.0157095890410959</c:v>
                </c:pt>
                <c:pt idx="121">
                  <c:v>0.0158383561643836</c:v>
                </c:pt>
                <c:pt idx="122">
                  <c:v>0.0159671232876712</c:v>
                </c:pt>
                <c:pt idx="123">
                  <c:v>0.0160958904109589</c:v>
                </c:pt>
                <c:pt idx="124">
                  <c:v>0.0162246575342466</c:v>
                </c:pt>
                <c:pt idx="125">
                  <c:v>0.0163534246575342</c:v>
                </c:pt>
                <c:pt idx="126">
                  <c:v>0.0164821917808219</c:v>
                </c:pt>
                <c:pt idx="127">
                  <c:v>0.0166109589041096</c:v>
                </c:pt>
                <c:pt idx="128">
                  <c:v>0.0167397260273973</c:v>
                </c:pt>
                <c:pt idx="129">
                  <c:v>0.0168684931506849</c:v>
                </c:pt>
                <c:pt idx="130">
                  <c:v>0.0169972602739726</c:v>
                </c:pt>
                <c:pt idx="131">
                  <c:v>0.0171260273972603</c:v>
                </c:pt>
                <c:pt idx="132">
                  <c:v>0.0172547945205479</c:v>
                </c:pt>
                <c:pt idx="133">
                  <c:v>0.0173835616438356</c:v>
                </c:pt>
                <c:pt idx="134">
                  <c:v>0.0175123287671233</c:v>
                </c:pt>
                <c:pt idx="135">
                  <c:v>0.017641095890411</c:v>
                </c:pt>
                <c:pt idx="136">
                  <c:v>0.0177698630136986</c:v>
                </c:pt>
                <c:pt idx="137">
                  <c:v>0.0178986301369863</c:v>
                </c:pt>
                <c:pt idx="138">
                  <c:v>0.018027397260274</c:v>
                </c:pt>
                <c:pt idx="139">
                  <c:v>0.0181561643835616</c:v>
                </c:pt>
                <c:pt idx="140">
                  <c:v>0.0182849315068493</c:v>
                </c:pt>
                <c:pt idx="141">
                  <c:v>0.018413698630137</c:v>
                </c:pt>
                <c:pt idx="142">
                  <c:v>0.0185424657534247</c:v>
                </c:pt>
                <c:pt idx="143">
                  <c:v>0.0186712328767123</c:v>
                </c:pt>
                <c:pt idx="144">
                  <c:v>0.0188</c:v>
                </c:pt>
                <c:pt idx="145">
                  <c:v>0.0189287671232877</c:v>
                </c:pt>
                <c:pt idx="146">
                  <c:v>0.0190575342465753</c:v>
                </c:pt>
                <c:pt idx="147">
                  <c:v>0.019186301369863</c:v>
                </c:pt>
                <c:pt idx="148">
                  <c:v>0.0193150684931507</c:v>
                </c:pt>
                <c:pt idx="149">
                  <c:v>0.0194438356164384</c:v>
                </c:pt>
                <c:pt idx="150">
                  <c:v>0.019572602739726</c:v>
                </c:pt>
                <c:pt idx="151">
                  <c:v>0.0197013698630137</c:v>
                </c:pt>
                <c:pt idx="152">
                  <c:v>0.0198301369863014</c:v>
                </c:pt>
                <c:pt idx="153">
                  <c:v>0.019958904109589</c:v>
                </c:pt>
                <c:pt idx="154">
                  <c:v>0.0200876712328767</c:v>
                </c:pt>
                <c:pt idx="155">
                  <c:v>0.0202164383561644</c:v>
                </c:pt>
                <c:pt idx="156">
                  <c:v>0.0203452054794521</c:v>
                </c:pt>
                <c:pt idx="157">
                  <c:v>0.0204739726027397</c:v>
                </c:pt>
                <c:pt idx="158">
                  <c:v>0.0206027397260274</c:v>
                </c:pt>
                <c:pt idx="159">
                  <c:v>0.0207315068493151</c:v>
                </c:pt>
                <c:pt idx="160">
                  <c:v>0.0208602739726027</c:v>
                </c:pt>
                <c:pt idx="161">
                  <c:v>0.0209890410958904</c:v>
                </c:pt>
                <c:pt idx="162">
                  <c:v>0.0211178082191781</c:v>
                </c:pt>
                <c:pt idx="163">
                  <c:v>0.0212465753424658</c:v>
                </c:pt>
                <c:pt idx="164">
                  <c:v>0.0213753424657534</c:v>
                </c:pt>
                <c:pt idx="165">
                  <c:v>0.0215041095890411</c:v>
                </c:pt>
                <c:pt idx="166">
                  <c:v>0.0216328767123288</c:v>
                </c:pt>
                <c:pt idx="167">
                  <c:v>0.0217616438356164</c:v>
                </c:pt>
                <c:pt idx="168">
                  <c:v>0.0218904109589041</c:v>
                </c:pt>
                <c:pt idx="169">
                  <c:v>0.0220191780821918</c:v>
                </c:pt>
                <c:pt idx="170">
                  <c:v>0.0221479452054795</c:v>
                </c:pt>
                <c:pt idx="171">
                  <c:v>0.0222767123287671</c:v>
                </c:pt>
                <c:pt idx="172">
                  <c:v>0.0224054794520548</c:v>
                </c:pt>
                <c:pt idx="173">
                  <c:v>0.0225342465753425</c:v>
                </c:pt>
                <c:pt idx="174">
                  <c:v>0.0226630136986301</c:v>
                </c:pt>
                <c:pt idx="175">
                  <c:v>0.0227917808219178</c:v>
                </c:pt>
                <c:pt idx="176">
                  <c:v>0.0229205479452055</c:v>
                </c:pt>
                <c:pt idx="177">
                  <c:v>0.0230493150684931</c:v>
                </c:pt>
                <c:pt idx="178">
                  <c:v>0.0231780821917808</c:v>
                </c:pt>
                <c:pt idx="179">
                  <c:v>0.0233068493150685</c:v>
                </c:pt>
                <c:pt idx="180">
                  <c:v>0.0234356164383562</c:v>
                </c:pt>
                <c:pt idx="181">
                  <c:v>0.0235643835616438</c:v>
                </c:pt>
                <c:pt idx="182">
                  <c:v>0.0236931506849315</c:v>
                </c:pt>
                <c:pt idx="183">
                  <c:v>0.0238219178082192</c:v>
                </c:pt>
                <c:pt idx="184">
                  <c:v>0.0239506849315069</c:v>
                </c:pt>
                <c:pt idx="185">
                  <c:v>0.0240794520547945</c:v>
                </c:pt>
                <c:pt idx="186">
                  <c:v>0.0242082191780822</c:v>
                </c:pt>
                <c:pt idx="187">
                  <c:v>0.0243369863013699</c:v>
                </c:pt>
                <c:pt idx="188">
                  <c:v>0.0244657534246575</c:v>
                </c:pt>
                <c:pt idx="189">
                  <c:v>0.0245945205479452</c:v>
                </c:pt>
                <c:pt idx="190">
                  <c:v>0.0247232876712329</c:v>
                </c:pt>
                <c:pt idx="191">
                  <c:v>0.0248520547945205</c:v>
                </c:pt>
                <c:pt idx="192">
                  <c:v>0.0249808219178082</c:v>
                </c:pt>
                <c:pt idx="193">
                  <c:v>0.0251095890410959</c:v>
                </c:pt>
                <c:pt idx="194">
                  <c:v>0.0252383561643836</c:v>
                </c:pt>
                <c:pt idx="195">
                  <c:v>0.0253671232876712</c:v>
                </c:pt>
                <c:pt idx="196">
                  <c:v>0.0254958904109589</c:v>
                </c:pt>
                <c:pt idx="197">
                  <c:v>0.0256246575342466</c:v>
                </c:pt>
                <c:pt idx="198">
                  <c:v>0.0257534246575342</c:v>
                </c:pt>
                <c:pt idx="199">
                  <c:v>0.0258821917808219</c:v>
                </c:pt>
                <c:pt idx="200">
                  <c:v>0.0260109589041096</c:v>
                </c:pt>
                <c:pt idx="201">
                  <c:v>0.0261397260273973</c:v>
                </c:pt>
                <c:pt idx="202">
                  <c:v>0.0262684931506849</c:v>
                </c:pt>
                <c:pt idx="203">
                  <c:v>0.0263972602739726</c:v>
                </c:pt>
                <c:pt idx="204">
                  <c:v>0.0265260273972603</c:v>
                </c:pt>
                <c:pt idx="205">
                  <c:v>0.0266547945205479</c:v>
                </c:pt>
                <c:pt idx="206">
                  <c:v>0.0267835616438356</c:v>
                </c:pt>
                <c:pt idx="207">
                  <c:v>0.0269123287671233</c:v>
                </c:pt>
                <c:pt idx="208">
                  <c:v>0.027041095890411</c:v>
                </c:pt>
                <c:pt idx="209">
                  <c:v>0.0271698630136986</c:v>
                </c:pt>
                <c:pt idx="210">
                  <c:v>0.0272986301369863</c:v>
                </c:pt>
                <c:pt idx="211">
                  <c:v>0.027427397260274</c:v>
                </c:pt>
                <c:pt idx="212">
                  <c:v>0.0275561643835616</c:v>
                </c:pt>
                <c:pt idx="213">
                  <c:v>0.0276849315068493</c:v>
                </c:pt>
                <c:pt idx="214">
                  <c:v>0.027813698630137</c:v>
                </c:pt>
                <c:pt idx="215">
                  <c:v>0.0279424657534247</c:v>
                </c:pt>
                <c:pt idx="216">
                  <c:v>0.0280712328767123</c:v>
                </c:pt>
                <c:pt idx="217">
                  <c:v>0.0282</c:v>
                </c:pt>
                <c:pt idx="218">
                  <c:v>0.0283287671232877</c:v>
                </c:pt>
              </c:numCache>
            </c:numRef>
          </c:val>
          <c:smooth val="0"/>
        </c:ser>
        <c:ser>
          <c:idx val="2"/>
          <c:order val="2"/>
          <c:tx>
            <c:strRef>
              <c:f>[1年108期WB007560.xlsx]Sheet2!$D$1</c:f>
              <c:strCache>
                <c:ptCount val="1"/>
                <c:pt idx="0">
                  <c:v>业绩比较基准增长率（高）</c:v>
                </c:pt>
              </c:strCache>
            </c:strRef>
          </c:tx>
          <c:spPr>
            <a:ln w="28575" cap="rnd">
              <a:solidFill>
                <a:schemeClr val="accent3"/>
              </a:solidFill>
              <a:round/>
            </a:ln>
            <a:effectLst/>
          </c:spPr>
          <c:marker>
            <c:symbol val="none"/>
          </c:marker>
          <c:dLbls>
            <c:delete val="1"/>
          </c:dLbls>
          <c:cat>
            <c:numRef>
              <c:f>[1年108期WB007560.xlsx]Sheet2!$A$2:$A$220</c:f>
              <c:numCache>
                <c:formatCode>yyyy/m/d</c:formatCode>
                <c:ptCount val="219"/>
                <c:pt idx="0" c:formatCode="yyyy/m/d">
                  <c:v>44524</c:v>
                </c:pt>
                <c:pt idx="1" c:formatCode="yyyy/m/d">
                  <c:v>44525</c:v>
                </c:pt>
                <c:pt idx="2" c:formatCode="yyyy/m/d">
                  <c:v>44526</c:v>
                </c:pt>
                <c:pt idx="3" c:formatCode="yyyy/m/d">
                  <c:v>44527</c:v>
                </c:pt>
                <c:pt idx="4" c:formatCode="yyyy/m/d">
                  <c:v>44528</c:v>
                </c:pt>
                <c:pt idx="5" c:formatCode="yyyy/m/d">
                  <c:v>44529</c:v>
                </c:pt>
                <c:pt idx="6" c:formatCode="yyyy/m/d">
                  <c:v>44530</c:v>
                </c:pt>
                <c:pt idx="7" c:formatCode="yyyy/m/d">
                  <c:v>44531</c:v>
                </c:pt>
                <c:pt idx="8" c:formatCode="yyyy/m/d">
                  <c:v>44532</c:v>
                </c:pt>
                <c:pt idx="9" c:formatCode="yyyy/m/d">
                  <c:v>44533</c:v>
                </c:pt>
                <c:pt idx="10" c:formatCode="yyyy/m/d">
                  <c:v>44534</c:v>
                </c:pt>
                <c:pt idx="11" c:formatCode="yyyy/m/d">
                  <c:v>44535</c:v>
                </c:pt>
                <c:pt idx="12" c:formatCode="yyyy/m/d">
                  <c:v>44536</c:v>
                </c:pt>
                <c:pt idx="13" c:formatCode="yyyy/m/d">
                  <c:v>44537</c:v>
                </c:pt>
                <c:pt idx="14" c:formatCode="yyyy/m/d">
                  <c:v>44538</c:v>
                </c:pt>
                <c:pt idx="15" c:formatCode="yyyy/m/d">
                  <c:v>44539</c:v>
                </c:pt>
                <c:pt idx="16" c:formatCode="yyyy/m/d">
                  <c:v>44540</c:v>
                </c:pt>
                <c:pt idx="17" c:formatCode="yyyy/m/d">
                  <c:v>44541</c:v>
                </c:pt>
                <c:pt idx="18" c:formatCode="yyyy/m/d">
                  <c:v>44542</c:v>
                </c:pt>
                <c:pt idx="19" c:formatCode="yyyy/m/d">
                  <c:v>44543</c:v>
                </c:pt>
                <c:pt idx="20" c:formatCode="yyyy/m/d">
                  <c:v>44544</c:v>
                </c:pt>
                <c:pt idx="21" c:formatCode="yyyy/m/d">
                  <c:v>44545</c:v>
                </c:pt>
                <c:pt idx="22" c:formatCode="yyyy/m/d">
                  <c:v>44546</c:v>
                </c:pt>
                <c:pt idx="23" c:formatCode="yyyy/m/d">
                  <c:v>44547</c:v>
                </c:pt>
                <c:pt idx="24" c:formatCode="yyyy/m/d">
                  <c:v>44548</c:v>
                </c:pt>
                <c:pt idx="25" c:formatCode="yyyy/m/d">
                  <c:v>44549</c:v>
                </c:pt>
                <c:pt idx="26" c:formatCode="yyyy/m/d">
                  <c:v>44550</c:v>
                </c:pt>
                <c:pt idx="27" c:formatCode="yyyy/m/d">
                  <c:v>44551</c:v>
                </c:pt>
                <c:pt idx="28" c:formatCode="yyyy/m/d">
                  <c:v>44552</c:v>
                </c:pt>
                <c:pt idx="29" c:formatCode="yyyy/m/d">
                  <c:v>44553</c:v>
                </c:pt>
                <c:pt idx="30" c:formatCode="yyyy/m/d">
                  <c:v>44554</c:v>
                </c:pt>
                <c:pt idx="31" c:formatCode="yyyy/m/d">
                  <c:v>44555</c:v>
                </c:pt>
                <c:pt idx="32" c:formatCode="yyyy/m/d">
                  <c:v>44556</c:v>
                </c:pt>
                <c:pt idx="33" c:formatCode="yyyy/m/d">
                  <c:v>44557</c:v>
                </c:pt>
                <c:pt idx="34" c:formatCode="yyyy/m/d">
                  <c:v>44558</c:v>
                </c:pt>
                <c:pt idx="35" c:formatCode="yyyy/m/d">
                  <c:v>44559</c:v>
                </c:pt>
                <c:pt idx="36" c:formatCode="yyyy/m/d">
                  <c:v>44560</c:v>
                </c:pt>
                <c:pt idx="37" c:formatCode="yyyy/m/d">
                  <c:v>44561</c:v>
                </c:pt>
                <c:pt idx="38" c:formatCode="yyyy/m/d">
                  <c:v>44562</c:v>
                </c:pt>
                <c:pt idx="39" c:formatCode="yyyy/m/d">
                  <c:v>44563</c:v>
                </c:pt>
                <c:pt idx="40" c:formatCode="yyyy/m/d">
                  <c:v>44564</c:v>
                </c:pt>
                <c:pt idx="41" c:formatCode="yyyy/m/d">
                  <c:v>44565</c:v>
                </c:pt>
                <c:pt idx="42" c:formatCode="yyyy/m/d">
                  <c:v>44566</c:v>
                </c:pt>
                <c:pt idx="43" c:formatCode="yyyy/m/d">
                  <c:v>44567</c:v>
                </c:pt>
                <c:pt idx="44" c:formatCode="yyyy/m/d">
                  <c:v>44568</c:v>
                </c:pt>
                <c:pt idx="45" c:formatCode="yyyy/m/d">
                  <c:v>44569</c:v>
                </c:pt>
                <c:pt idx="46" c:formatCode="yyyy/m/d">
                  <c:v>44570</c:v>
                </c:pt>
                <c:pt idx="47" c:formatCode="yyyy/m/d">
                  <c:v>44571</c:v>
                </c:pt>
                <c:pt idx="48" c:formatCode="yyyy/m/d">
                  <c:v>44572</c:v>
                </c:pt>
                <c:pt idx="49" c:formatCode="yyyy/m/d">
                  <c:v>44573</c:v>
                </c:pt>
                <c:pt idx="50" c:formatCode="yyyy/m/d">
                  <c:v>44574</c:v>
                </c:pt>
                <c:pt idx="51" c:formatCode="yyyy/m/d">
                  <c:v>44575</c:v>
                </c:pt>
                <c:pt idx="52" c:formatCode="yyyy/m/d">
                  <c:v>44576</c:v>
                </c:pt>
                <c:pt idx="53" c:formatCode="yyyy/m/d">
                  <c:v>44577</c:v>
                </c:pt>
                <c:pt idx="54" c:formatCode="yyyy/m/d">
                  <c:v>44578</c:v>
                </c:pt>
                <c:pt idx="55" c:formatCode="yyyy/m/d">
                  <c:v>44579</c:v>
                </c:pt>
                <c:pt idx="56" c:formatCode="yyyy/m/d">
                  <c:v>44580</c:v>
                </c:pt>
                <c:pt idx="57" c:formatCode="yyyy/m/d">
                  <c:v>44581</c:v>
                </c:pt>
                <c:pt idx="58" c:formatCode="yyyy/m/d">
                  <c:v>44582</c:v>
                </c:pt>
                <c:pt idx="59" c:formatCode="yyyy/m/d">
                  <c:v>44583</c:v>
                </c:pt>
                <c:pt idx="60" c:formatCode="yyyy/m/d">
                  <c:v>44584</c:v>
                </c:pt>
                <c:pt idx="61" c:formatCode="yyyy/m/d">
                  <c:v>44585</c:v>
                </c:pt>
                <c:pt idx="62" c:formatCode="yyyy/m/d">
                  <c:v>44586</c:v>
                </c:pt>
                <c:pt idx="63" c:formatCode="yyyy/m/d">
                  <c:v>44587</c:v>
                </c:pt>
                <c:pt idx="64" c:formatCode="yyyy/m/d">
                  <c:v>44588</c:v>
                </c:pt>
                <c:pt idx="65" c:formatCode="yyyy/m/d">
                  <c:v>44589</c:v>
                </c:pt>
                <c:pt idx="66" c:formatCode="yyyy/m/d">
                  <c:v>44590</c:v>
                </c:pt>
                <c:pt idx="67" c:formatCode="yyyy/m/d">
                  <c:v>44591</c:v>
                </c:pt>
                <c:pt idx="68" c:formatCode="yyyy/m/d">
                  <c:v>44592</c:v>
                </c:pt>
                <c:pt idx="69" c:formatCode="yyyy/m/d">
                  <c:v>44593</c:v>
                </c:pt>
                <c:pt idx="70" c:formatCode="yyyy/m/d">
                  <c:v>44594</c:v>
                </c:pt>
                <c:pt idx="71" c:formatCode="yyyy/m/d">
                  <c:v>44595</c:v>
                </c:pt>
                <c:pt idx="72" c:formatCode="yyyy/m/d">
                  <c:v>44596</c:v>
                </c:pt>
                <c:pt idx="73" c:formatCode="yyyy/m/d">
                  <c:v>44597</c:v>
                </c:pt>
                <c:pt idx="74" c:formatCode="yyyy/m/d">
                  <c:v>44598</c:v>
                </c:pt>
                <c:pt idx="75" c:formatCode="yyyy/m/d">
                  <c:v>44599</c:v>
                </c:pt>
                <c:pt idx="76" c:formatCode="yyyy/m/d">
                  <c:v>44600</c:v>
                </c:pt>
                <c:pt idx="77" c:formatCode="yyyy/m/d">
                  <c:v>44601</c:v>
                </c:pt>
                <c:pt idx="78" c:formatCode="yyyy/m/d">
                  <c:v>44602</c:v>
                </c:pt>
                <c:pt idx="79" c:formatCode="yyyy/m/d">
                  <c:v>44603</c:v>
                </c:pt>
                <c:pt idx="80" c:formatCode="yyyy/m/d">
                  <c:v>44604</c:v>
                </c:pt>
                <c:pt idx="81" c:formatCode="yyyy/m/d">
                  <c:v>44605</c:v>
                </c:pt>
                <c:pt idx="82" c:formatCode="yyyy/m/d">
                  <c:v>44606</c:v>
                </c:pt>
                <c:pt idx="83" c:formatCode="yyyy/m/d">
                  <c:v>44607</c:v>
                </c:pt>
                <c:pt idx="84" c:formatCode="yyyy/m/d">
                  <c:v>44608</c:v>
                </c:pt>
                <c:pt idx="85" c:formatCode="yyyy/m/d">
                  <c:v>44609</c:v>
                </c:pt>
                <c:pt idx="86" c:formatCode="yyyy/m/d">
                  <c:v>44610</c:v>
                </c:pt>
                <c:pt idx="87" c:formatCode="yyyy/m/d">
                  <c:v>44611</c:v>
                </c:pt>
                <c:pt idx="88" c:formatCode="yyyy/m/d">
                  <c:v>44612</c:v>
                </c:pt>
                <c:pt idx="89" c:formatCode="yyyy/m/d">
                  <c:v>44613</c:v>
                </c:pt>
                <c:pt idx="90" c:formatCode="yyyy/m/d">
                  <c:v>44614</c:v>
                </c:pt>
                <c:pt idx="91" c:formatCode="yyyy/m/d">
                  <c:v>44615</c:v>
                </c:pt>
                <c:pt idx="92" c:formatCode="yyyy/m/d">
                  <c:v>44616</c:v>
                </c:pt>
                <c:pt idx="93" c:formatCode="yyyy/m/d">
                  <c:v>44617</c:v>
                </c:pt>
                <c:pt idx="94" c:formatCode="yyyy/m/d">
                  <c:v>44618</c:v>
                </c:pt>
                <c:pt idx="95" c:formatCode="yyyy/m/d">
                  <c:v>44619</c:v>
                </c:pt>
                <c:pt idx="96" c:formatCode="yyyy/m/d">
                  <c:v>44620</c:v>
                </c:pt>
                <c:pt idx="97" c:formatCode="yyyy/m/d">
                  <c:v>44621</c:v>
                </c:pt>
                <c:pt idx="98" c:formatCode="yyyy/m/d">
                  <c:v>44622</c:v>
                </c:pt>
                <c:pt idx="99" c:formatCode="yyyy/m/d">
                  <c:v>44623</c:v>
                </c:pt>
                <c:pt idx="100" c:formatCode="yyyy/m/d">
                  <c:v>44624</c:v>
                </c:pt>
                <c:pt idx="101" c:formatCode="yyyy/m/d">
                  <c:v>44625</c:v>
                </c:pt>
                <c:pt idx="102" c:formatCode="yyyy/m/d">
                  <c:v>44626</c:v>
                </c:pt>
                <c:pt idx="103" c:formatCode="yyyy/m/d">
                  <c:v>44627</c:v>
                </c:pt>
                <c:pt idx="104" c:formatCode="yyyy/m/d">
                  <c:v>44628</c:v>
                </c:pt>
                <c:pt idx="105" c:formatCode="yyyy/m/d">
                  <c:v>44629</c:v>
                </c:pt>
                <c:pt idx="106" c:formatCode="yyyy/m/d">
                  <c:v>44630</c:v>
                </c:pt>
                <c:pt idx="107" c:formatCode="yyyy/m/d">
                  <c:v>44631</c:v>
                </c:pt>
                <c:pt idx="108" c:formatCode="yyyy/m/d">
                  <c:v>44632</c:v>
                </c:pt>
                <c:pt idx="109" c:formatCode="yyyy/m/d">
                  <c:v>44633</c:v>
                </c:pt>
                <c:pt idx="110" c:formatCode="yyyy/m/d">
                  <c:v>44634</c:v>
                </c:pt>
                <c:pt idx="111" c:formatCode="yyyy/m/d">
                  <c:v>44635</c:v>
                </c:pt>
                <c:pt idx="112" c:formatCode="yyyy/m/d">
                  <c:v>44636</c:v>
                </c:pt>
                <c:pt idx="113" c:formatCode="yyyy/m/d">
                  <c:v>44637</c:v>
                </c:pt>
                <c:pt idx="114" c:formatCode="yyyy/m/d">
                  <c:v>44638</c:v>
                </c:pt>
                <c:pt idx="115" c:formatCode="yyyy/m/d">
                  <c:v>44639</c:v>
                </c:pt>
                <c:pt idx="116" c:formatCode="yyyy/m/d">
                  <c:v>44640</c:v>
                </c:pt>
                <c:pt idx="117" c:formatCode="yyyy/m/d">
                  <c:v>44641</c:v>
                </c:pt>
                <c:pt idx="118" c:formatCode="yyyy/m/d">
                  <c:v>44642</c:v>
                </c:pt>
                <c:pt idx="119" c:formatCode="yyyy/m/d">
                  <c:v>44643</c:v>
                </c:pt>
                <c:pt idx="120" c:formatCode="yyyy/m/d">
                  <c:v>44644</c:v>
                </c:pt>
                <c:pt idx="121" c:formatCode="yyyy/m/d">
                  <c:v>44645</c:v>
                </c:pt>
                <c:pt idx="122" c:formatCode="yyyy/m/d">
                  <c:v>44646</c:v>
                </c:pt>
                <c:pt idx="123" c:formatCode="yyyy/m/d">
                  <c:v>44647</c:v>
                </c:pt>
                <c:pt idx="124" c:formatCode="yyyy/m/d">
                  <c:v>44648</c:v>
                </c:pt>
                <c:pt idx="125" c:formatCode="yyyy/m/d">
                  <c:v>44649</c:v>
                </c:pt>
                <c:pt idx="126" c:formatCode="yyyy/m/d">
                  <c:v>44650</c:v>
                </c:pt>
                <c:pt idx="127" c:formatCode="yyyy/m/d">
                  <c:v>44651</c:v>
                </c:pt>
                <c:pt idx="128" c:formatCode="yyyy/m/d">
                  <c:v>44652</c:v>
                </c:pt>
                <c:pt idx="129" c:formatCode="yyyy/m/d">
                  <c:v>44653</c:v>
                </c:pt>
                <c:pt idx="130" c:formatCode="yyyy/m/d">
                  <c:v>44654</c:v>
                </c:pt>
                <c:pt idx="131" c:formatCode="yyyy/m/d">
                  <c:v>44655</c:v>
                </c:pt>
                <c:pt idx="132" c:formatCode="yyyy/m/d">
                  <c:v>44656</c:v>
                </c:pt>
                <c:pt idx="133" c:formatCode="yyyy/m/d">
                  <c:v>44657</c:v>
                </c:pt>
                <c:pt idx="134" c:formatCode="yyyy/m/d">
                  <c:v>44658</c:v>
                </c:pt>
                <c:pt idx="135" c:formatCode="yyyy/m/d">
                  <c:v>44659</c:v>
                </c:pt>
                <c:pt idx="136" c:formatCode="yyyy/m/d">
                  <c:v>44660</c:v>
                </c:pt>
                <c:pt idx="137" c:formatCode="yyyy/m/d">
                  <c:v>44661</c:v>
                </c:pt>
                <c:pt idx="138" c:formatCode="yyyy/m/d">
                  <c:v>44662</c:v>
                </c:pt>
                <c:pt idx="139" c:formatCode="yyyy/m/d">
                  <c:v>44663</c:v>
                </c:pt>
                <c:pt idx="140" c:formatCode="yyyy/m/d">
                  <c:v>44664</c:v>
                </c:pt>
                <c:pt idx="141" c:formatCode="yyyy/m/d">
                  <c:v>44665</c:v>
                </c:pt>
                <c:pt idx="142" c:formatCode="yyyy/m/d">
                  <c:v>44666</c:v>
                </c:pt>
                <c:pt idx="143" c:formatCode="yyyy/m/d">
                  <c:v>44667</c:v>
                </c:pt>
                <c:pt idx="144" c:formatCode="yyyy/m/d">
                  <c:v>44668</c:v>
                </c:pt>
                <c:pt idx="145" c:formatCode="yyyy/m/d">
                  <c:v>44669</c:v>
                </c:pt>
                <c:pt idx="146" c:formatCode="yyyy/m/d">
                  <c:v>44670</c:v>
                </c:pt>
                <c:pt idx="147" c:formatCode="yyyy/m/d">
                  <c:v>44671</c:v>
                </c:pt>
                <c:pt idx="148" c:formatCode="yyyy/m/d">
                  <c:v>44672</c:v>
                </c:pt>
                <c:pt idx="149" c:formatCode="yyyy/m/d">
                  <c:v>44673</c:v>
                </c:pt>
                <c:pt idx="150" c:formatCode="yyyy/m/d">
                  <c:v>44674</c:v>
                </c:pt>
                <c:pt idx="151" c:formatCode="yyyy/m/d">
                  <c:v>44675</c:v>
                </c:pt>
                <c:pt idx="152" c:formatCode="yyyy/m/d">
                  <c:v>44676</c:v>
                </c:pt>
                <c:pt idx="153" c:formatCode="yyyy/m/d">
                  <c:v>44677</c:v>
                </c:pt>
                <c:pt idx="154" c:formatCode="yyyy/m/d">
                  <c:v>44678</c:v>
                </c:pt>
                <c:pt idx="155" c:formatCode="yyyy/m/d">
                  <c:v>44679</c:v>
                </c:pt>
                <c:pt idx="156" c:formatCode="yyyy/m/d">
                  <c:v>44680</c:v>
                </c:pt>
                <c:pt idx="157" c:formatCode="yyyy/m/d">
                  <c:v>44681</c:v>
                </c:pt>
                <c:pt idx="158" c:formatCode="yyyy/m/d">
                  <c:v>44682</c:v>
                </c:pt>
                <c:pt idx="159" c:formatCode="yyyy/m/d">
                  <c:v>44683</c:v>
                </c:pt>
                <c:pt idx="160" c:formatCode="yyyy/m/d">
                  <c:v>44684</c:v>
                </c:pt>
                <c:pt idx="161" c:formatCode="yyyy/m/d">
                  <c:v>44685</c:v>
                </c:pt>
                <c:pt idx="162" c:formatCode="yyyy/m/d">
                  <c:v>44686</c:v>
                </c:pt>
                <c:pt idx="163" c:formatCode="yyyy/m/d">
                  <c:v>44687</c:v>
                </c:pt>
                <c:pt idx="164" c:formatCode="yyyy/m/d">
                  <c:v>44688</c:v>
                </c:pt>
                <c:pt idx="165" c:formatCode="yyyy/m/d">
                  <c:v>44689</c:v>
                </c:pt>
                <c:pt idx="166" c:formatCode="yyyy/m/d">
                  <c:v>44690</c:v>
                </c:pt>
                <c:pt idx="167" c:formatCode="yyyy/m/d">
                  <c:v>44691</c:v>
                </c:pt>
                <c:pt idx="168" c:formatCode="yyyy/m/d">
                  <c:v>44692</c:v>
                </c:pt>
                <c:pt idx="169" c:formatCode="yyyy/m/d">
                  <c:v>44693</c:v>
                </c:pt>
                <c:pt idx="170" c:formatCode="yyyy/m/d">
                  <c:v>44694</c:v>
                </c:pt>
                <c:pt idx="171" c:formatCode="yyyy/m/d">
                  <c:v>44695</c:v>
                </c:pt>
                <c:pt idx="172" c:formatCode="yyyy/m/d">
                  <c:v>44696</c:v>
                </c:pt>
                <c:pt idx="173" c:formatCode="yyyy/m/d">
                  <c:v>44697</c:v>
                </c:pt>
                <c:pt idx="174" c:formatCode="yyyy/m/d">
                  <c:v>44698</c:v>
                </c:pt>
                <c:pt idx="175" c:formatCode="yyyy/m/d">
                  <c:v>44699</c:v>
                </c:pt>
                <c:pt idx="176" c:formatCode="yyyy/m/d">
                  <c:v>44700</c:v>
                </c:pt>
                <c:pt idx="177" c:formatCode="yyyy/m/d">
                  <c:v>44701</c:v>
                </c:pt>
                <c:pt idx="178" c:formatCode="yyyy/m/d">
                  <c:v>44702</c:v>
                </c:pt>
                <c:pt idx="179" c:formatCode="yyyy/m/d">
                  <c:v>44703</c:v>
                </c:pt>
                <c:pt idx="180" c:formatCode="yyyy/m/d">
                  <c:v>44704</c:v>
                </c:pt>
                <c:pt idx="181" c:formatCode="yyyy/m/d">
                  <c:v>44705</c:v>
                </c:pt>
                <c:pt idx="182" c:formatCode="yyyy/m/d">
                  <c:v>44706</c:v>
                </c:pt>
                <c:pt idx="183" c:formatCode="yyyy/m/d">
                  <c:v>44707</c:v>
                </c:pt>
                <c:pt idx="184" c:formatCode="yyyy/m/d">
                  <c:v>44708</c:v>
                </c:pt>
                <c:pt idx="185" c:formatCode="yyyy/m/d">
                  <c:v>44709</c:v>
                </c:pt>
                <c:pt idx="186" c:formatCode="yyyy/m/d">
                  <c:v>44710</c:v>
                </c:pt>
                <c:pt idx="187" c:formatCode="yyyy/m/d">
                  <c:v>44711</c:v>
                </c:pt>
                <c:pt idx="188" c:formatCode="yyyy/m/d">
                  <c:v>44712</c:v>
                </c:pt>
                <c:pt idx="189" c:formatCode="yyyy/m/d">
                  <c:v>44713</c:v>
                </c:pt>
                <c:pt idx="190" c:formatCode="yyyy/m/d">
                  <c:v>44714</c:v>
                </c:pt>
                <c:pt idx="191" c:formatCode="yyyy/m/d">
                  <c:v>44715</c:v>
                </c:pt>
                <c:pt idx="192" c:formatCode="yyyy/m/d">
                  <c:v>44716</c:v>
                </c:pt>
                <c:pt idx="193" c:formatCode="yyyy/m/d">
                  <c:v>44717</c:v>
                </c:pt>
                <c:pt idx="194" c:formatCode="yyyy/m/d">
                  <c:v>44718</c:v>
                </c:pt>
                <c:pt idx="195" c:formatCode="yyyy/m/d">
                  <c:v>44719</c:v>
                </c:pt>
                <c:pt idx="196" c:formatCode="yyyy/m/d">
                  <c:v>44720</c:v>
                </c:pt>
                <c:pt idx="197" c:formatCode="yyyy/m/d">
                  <c:v>44721</c:v>
                </c:pt>
                <c:pt idx="198" c:formatCode="yyyy/m/d">
                  <c:v>44722</c:v>
                </c:pt>
                <c:pt idx="199" c:formatCode="yyyy/m/d">
                  <c:v>44723</c:v>
                </c:pt>
                <c:pt idx="200" c:formatCode="yyyy/m/d">
                  <c:v>44724</c:v>
                </c:pt>
                <c:pt idx="201" c:formatCode="yyyy/m/d">
                  <c:v>44725</c:v>
                </c:pt>
                <c:pt idx="202" c:formatCode="yyyy/m/d">
                  <c:v>44726</c:v>
                </c:pt>
                <c:pt idx="203" c:formatCode="yyyy/m/d">
                  <c:v>44727</c:v>
                </c:pt>
                <c:pt idx="204" c:formatCode="yyyy/m/d">
                  <c:v>44728</c:v>
                </c:pt>
                <c:pt idx="205" c:formatCode="yyyy/m/d">
                  <c:v>44729</c:v>
                </c:pt>
                <c:pt idx="206" c:formatCode="yyyy/m/d">
                  <c:v>44730</c:v>
                </c:pt>
                <c:pt idx="207" c:formatCode="yyyy/m/d">
                  <c:v>44731</c:v>
                </c:pt>
                <c:pt idx="208" c:formatCode="yyyy/m/d">
                  <c:v>44732</c:v>
                </c:pt>
                <c:pt idx="209" c:formatCode="yyyy/m/d">
                  <c:v>44733</c:v>
                </c:pt>
                <c:pt idx="210" c:formatCode="yyyy/m/d">
                  <c:v>44734</c:v>
                </c:pt>
                <c:pt idx="211" c:formatCode="yyyy/m/d">
                  <c:v>44735</c:v>
                </c:pt>
                <c:pt idx="212" c:formatCode="yyyy/m/d">
                  <c:v>44736</c:v>
                </c:pt>
                <c:pt idx="213" c:formatCode="yyyy/m/d">
                  <c:v>44737</c:v>
                </c:pt>
                <c:pt idx="214" c:formatCode="yyyy/m/d">
                  <c:v>44738</c:v>
                </c:pt>
                <c:pt idx="215" c:formatCode="yyyy/m/d">
                  <c:v>44739</c:v>
                </c:pt>
                <c:pt idx="216" c:formatCode="yyyy/m/d">
                  <c:v>44740</c:v>
                </c:pt>
                <c:pt idx="217" c:formatCode="yyyy/m/d">
                  <c:v>44741</c:v>
                </c:pt>
                <c:pt idx="218" c:formatCode="yyyy/m/d">
                  <c:v>44742</c:v>
                </c:pt>
              </c:numCache>
            </c:numRef>
          </c:cat>
          <c:val>
            <c:numRef>
              <c:f>[1年108期WB007560.xlsx]Sheet2!$D$2:$D$220</c:f>
              <c:numCache>
                <c:formatCode>General</c:formatCode>
                <c:ptCount val="219"/>
                <c:pt idx="0">
                  <c:v>0.000284931506849315</c:v>
                </c:pt>
                <c:pt idx="1">
                  <c:v>0.000427397260273973</c:v>
                </c:pt>
                <c:pt idx="2">
                  <c:v>0.00056986301369863</c:v>
                </c:pt>
                <c:pt idx="3">
                  <c:v>0.000712328767123288</c:v>
                </c:pt>
                <c:pt idx="4">
                  <c:v>0.000854794520547945</c:v>
                </c:pt>
                <c:pt idx="5">
                  <c:v>0.000997260273972603</c:v>
                </c:pt>
                <c:pt idx="6">
                  <c:v>0.00113972602739726</c:v>
                </c:pt>
                <c:pt idx="7">
                  <c:v>0.00128219178082192</c:v>
                </c:pt>
                <c:pt idx="8">
                  <c:v>0.00142465753424658</c:v>
                </c:pt>
                <c:pt idx="9">
                  <c:v>0.00156712328767123</c:v>
                </c:pt>
                <c:pt idx="10">
                  <c:v>0.00170958904109589</c:v>
                </c:pt>
                <c:pt idx="11">
                  <c:v>0.00185205479452055</c:v>
                </c:pt>
                <c:pt idx="12">
                  <c:v>0.00199452054794521</c:v>
                </c:pt>
                <c:pt idx="13">
                  <c:v>0.00213698630136986</c:v>
                </c:pt>
                <c:pt idx="14">
                  <c:v>0.00227945205479452</c:v>
                </c:pt>
                <c:pt idx="15">
                  <c:v>0.00242191780821918</c:v>
                </c:pt>
                <c:pt idx="16">
                  <c:v>0.00256438356164384</c:v>
                </c:pt>
                <c:pt idx="17">
                  <c:v>0.00270684931506849</c:v>
                </c:pt>
                <c:pt idx="18">
                  <c:v>0.00284931506849315</c:v>
                </c:pt>
                <c:pt idx="19">
                  <c:v>0.00299178082191781</c:v>
                </c:pt>
                <c:pt idx="20">
                  <c:v>0.00313424657534247</c:v>
                </c:pt>
                <c:pt idx="21">
                  <c:v>0.00327671232876712</c:v>
                </c:pt>
                <c:pt idx="22">
                  <c:v>0.00341917808219178</c:v>
                </c:pt>
                <c:pt idx="23">
                  <c:v>0.00356164383561644</c:v>
                </c:pt>
                <c:pt idx="24">
                  <c:v>0.0037041095890411</c:v>
                </c:pt>
                <c:pt idx="25">
                  <c:v>0.00384657534246575</c:v>
                </c:pt>
                <c:pt idx="26">
                  <c:v>0.00398904109589041</c:v>
                </c:pt>
                <c:pt idx="27">
                  <c:v>0.00413150684931507</c:v>
                </c:pt>
                <c:pt idx="28">
                  <c:v>0.00427397260273973</c:v>
                </c:pt>
                <c:pt idx="29">
                  <c:v>0.00441643835616438</c:v>
                </c:pt>
                <c:pt idx="30">
                  <c:v>0.00455890410958904</c:v>
                </c:pt>
                <c:pt idx="31">
                  <c:v>0.0047013698630137</c:v>
                </c:pt>
                <c:pt idx="32">
                  <c:v>0.00484383561643836</c:v>
                </c:pt>
                <c:pt idx="33">
                  <c:v>0.00498630136986301</c:v>
                </c:pt>
                <c:pt idx="34">
                  <c:v>0.00512876712328767</c:v>
                </c:pt>
                <c:pt idx="35">
                  <c:v>0.00527123287671233</c:v>
                </c:pt>
                <c:pt idx="36">
                  <c:v>0.00541369863013699</c:v>
                </c:pt>
                <c:pt idx="37">
                  <c:v>0.00555616438356164</c:v>
                </c:pt>
                <c:pt idx="38">
                  <c:v>0.0056986301369863</c:v>
                </c:pt>
                <c:pt idx="39">
                  <c:v>0.00584109589041096</c:v>
                </c:pt>
                <c:pt idx="40">
                  <c:v>0.00598356164383562</c:v>
                </c:pt>
                <c:pt idx="41">
                  <c:v>0.00612602739726027</c:v>
                </c:pt>
                <c:pt idx="42">
                  <c:v>0.00626849315068493</c:v>
                </c:pt>
                <c:pt idx="43">
                  <c:v>0.00641095890410959</c:v>
                </c:pt>
                <c:pt idx="44">
                  <c:v>0.00655342465753425</c:v>
                </c:pt>
                <c:pt idx="45">
                  <c:v>0.0066958904109589</c:v>
                </c:pt>
                <c:pt idx="46">
                  <c:v>0.00683835616438356</c:v>
                </c:pt>
                <c:pt idx="47">
                  <c:v>0.00698082191780822</c:v>
                </c:pt>
                <c:pt idx="48">
                  <c:v>0.00712328767123288</c:v>
                </c:pt>
                <c:pt idx="49">
                  <c:v>0.00726575342465753</c:v>
                </c:pt>
                <c:pt idx="50">
                  <c:v>0.00740821917808219</c:v>
                </c:pt>
                <c:pt idx="51">
                  <c:v>0.00755068493150685</c:v>
                </c:pt>
                <c:pt idx="52">
                  <c:v>0.00769315068493151</c:v>
                </c:pt>
                <c:pt idx="53">
                  <c:v>0.00783561643835616</c:v>
                </c:pt>
                <c:pt idx="54">
                  <c:v>0.00797808219178082</c:v>
                </c:pt>
                <c:pt idx="55">
                  <c:v>0.00812054794520548</c:v>
                </c:pt>
                <c:pt idx="56">
                  <c:v>0.00826301369863014</c:v>
                </c:pt>
                <c:pt idx="57">
                  <c:v>0.00840547945205479</c:v>
                </c:pt>
                <c:pt idx="58">
                  <c:v>0.00854794520547945</c:v>
                </c:pt>
                <c:pt idx="59">
                  <c:v>0.00869041095890411</c:v>
                </c:pt>
                <c:pt idx="60">
                  <c:v>0.00883287671232877</c:v>
                </c:pt>
                <c:pt idx="61">
                  <c:v>0.00897534246575342</c:v>
                </c:pt>
                <c:pt idx="62">
                  <c:v>0.00911780821917808</c:v>
                </c:pt>
                <c:pt idx="63">
                  <c:v>0.00926027397260274</c:v>
                </c:pt>
                <c:pt idx="64">
                  <c:v>0.0094027397260274</c:v>
                </c:pt>
                <c:pt idx="65">
                  <c:v>0.00954520547945205</c:v>
                </c:pt>
                <c:pt idx="66">
                  <c:v>0.00968767123287671</c:v>
                </c:pt>
                <c:pt idx="67">
                  <c:v>0.00983013698630137</c:v>
                </c:pt>
                <c:pt idx="68">
                  <c:v>0.00997260273972603</c:v>
                </c:pt>
                <c:pt idx="69">
                  <c:v>0.0101150684931507</c:v>
                </c:pt>
                <c:pt idx="70">
                  <c:v>0.0102575342465753</c:v>
                </c:pt>
                <c:pt idx="71">
                  <c:v>0.0104</c:v>
                </c:pt>
                <c:pt idx="72">
                  <c:v>0.0105424657534247</c:v>
                </c:pt>
                <c:pt idx="73">
                  <c:v>0.0106849315068493</c:v>
                </c:pt>
                <c:pt idx="74">
                  <c:v>0.010827397260274</c:v>
                </c:pt>
                <c:pt idx="75">
                  <c:v>0.0109698630136986</c:v>
                </c:pt>
                <c:pt idx="76">
                  <c:v>0.0111123287671233</c:v>
                </c:pt>
                <c:pt idx="77">
                  <c:v>0.0112547945205479</c:v>
                </c:pt>
                <c:pt idx="78">
                  <c:v>0.0113972602739726</c:v>
                </c:pt>
                <c:pt idx="79">
                  <c:v>0.0115397260273973</c:v>
                </c:pt>
                <c:pt idx="80">
                  <c:v>0.0116821917808219</c:v>
                </c:pt>
                <c:pt idx="81">
                  <c:v>0.0118246575342466</c:v>
                </c:pt>
                <c:pt idx="82">
                  <c:v>0.0119671232876712</c:v>
                </c:pt>
                <c:pt idx="83">
                  <c:v>0.0121095890410959</c:v>
                </c:pt>
                <c:pt idx="84">
                  <c:v>0.0122520547945205</c:v>
                </c:pt>
                <c:pt idx="85">
                  <c:v>0.0123945205479452</c:v>
                </c:pt>
                <c:pt idx="86">
                  <c:v>0.0125369863013699</c:v>
                </c:pt>
                <c:pt idx="87">
                  <c:v>0.0126794520547945</c:v>
                </c:pt>
                <c:pt idx="88">
                  <c:v>0.0128219178082192</c:v>
                </c:pt>
                <c:pt idx="89">
                  <c:v>0.0129643835616438</c:v>
                </c:pt>
                <c:pt idx="90">
                  <c:v>0.0131068493150685</c:v>
                </c:pt>
                <c:pt idx="91">
                  <c:v>0.0132493150684931</c:v>
                </c:pt>
                <c:pt idx="92">
                  <c:v>0.0133917808219178</c:v>
                </c:pt>
                <c:pt idx="93">
                  <c:v>0.0135342465753425</c:v>
                </c:pt>
                <c:pt idx="94">
                  <c:v>0.0136767123287671</c:v>
                </c:pt>
                <c:pt idx="95">
                  <c:v>0.0138191780821918</c:v>
                </c:pt>
                <c:pt idx="96">
                  <c:v>0.0139616438356164</c:v>
                </c:pt>
                <c:pt idx="97">
                  <c:v>0.0141041095890411</c:v>
                </c:pt>
                <c:pt idx="98">
                  <c:v>0.0142465753424658</c:v>
                </c:pt>
                <c:pt idx="99">
                  <c:v>0.0143890410958904</c:v>
                </c:pt>
                <c:pt idx="100">
                  <c:v>0.0145315068493151</c:v>
                </c:pt>
                <c:pt idx="101">
                  <c:v>0.0146739726027397</c:v>
                </c:pt>
                <c:pt idx="102">
                  <c:v>0.0148164383561644</c:v>
                </c:pt>
                <c:pt idx="103">
                  <c:v>0.014958904109589</c:v>
                </c:pt>
                <c:pt idx="104">
                  <c:v>0.0151013698630137</c:v>
                </c:pt>
                <c:pt idx="105">
                  <c:v>0.0152438356164384</c:v>
                </c:pt>
                <c:pt idx="106">
                  <c:v>0.015386301369863</c:v>
                </c:pt>
                <c:pt idx="107">
                  <c:v>0.0155287671232877</c:v>
                </c:pt>
                <c:pt idx="108">
                  <c:v>0.0156712328767123</c:v>
                </c:pt>
                <c:pt idx="109">
                  <c:v>0.015813698630137</c:v>
                </c:pt>
                <c:pt idx="110">
                  <c:v>0.0159561643835616</c:v>
                </c:pt>
                <c:pt idx="111">
                  <c:v>0.0160986301369863</c:v>
                </c:pt>
                <c:pt idx="112">
                  <c:v>0.016241095890411</c:v>
                </c:pt>
                <c:pt idx="113">
                  <c:v>0.0163835616438356</c:v>
                </c:pt>
                <c:pt idx="114">
                  <c:v>0.0165260273972603</c:v>
                </c:pt>
                <c:pt idx="115">
                  <c:v>0.0166684931506849</c:v>
                </c:pt>
                <c:pt idx="116">
                  <c:v>0.0168109589041096</c:v>
                </c:pt>
                <c:pt idx="117">
                  <c:v>0.0169534246575342</c:v>
                </c:pt>
                <c:pt idx="118">
                  <c:v>0.0170958904109589</c:v>
                </c:pt>
                <c:pt idx="119">
                  <c:v>0.0172383561643836</c:v>
                </c:pt>
                <c:pt idx="120">
                  <c:v>0.0173808219178082</c:v>
                </c:pt>
                <c:pt idx="121">
                  <c:v>0.0175232876712329</c:v>
                </c:pt>
                <c:pt idx="122">
                  <c:v>0.0176657534246575</c:v>
                </c:pt>
                <c:pt idx="123">
                  <c:v>0.0178082191780822</c:v>
                </c:pt>
                <c:pt idx="124">
                  <c:v>0.0179506849315068</c:v>
                </c:pt>
                <c:pt idx="125">
                  <c:v>0.0180931506849315</c:v>
                </c:pt>
                <c:pt idx="126">
                  <c:v>0.0182356164383562</c:v>
                </c:pt>
                <c:pt idx="127">
                  <c:v>0.0183780821917808</c:v>
                </c:pt>
                <c:pt idx="128">
                  <c:v>0.0185205479452055</c:v>
                </c:pt>
                <c:pt idx="129">
                  <c:v>0.0186630136986301</c:v>
                </c:pt>
                <c:pt idx="130">
                  <c:v>0.0188054794520548</c:v>
                </c:pt>
                <c:pt idx="131">
                  <c:v>0.0189479452054795</c:v>
                </c:pt>
                <c:pt idx="132">
                  <c:v>0.0190904109589041</c:v>
                </c:pt>
                <c:pt idx="133">
                  <c:v>0.0192328767123288</c:v>
                </c:pt>
                <c:pt idx="134">
                  <c:v>0.0193753424657534</c:v>
                </c:pt>
                <c:pt idx="135">
                  <c:v>0.0195178082191781</c:v>
                </c:pt>
                <c:pt idx="136">
                  <c:v>0.0196602739726027</c:v>
                </c:pt>
                <c:pt idx="137">
                  <c:v>0.0198027397260274</c:v>
                </c:pt>
                <c:pt idx="138">
                  <c:v>0.0199452054794521</c:v>
                </c:pt>
                <c:pt idx="139">
                  <c:v>0.0200876712328767</c:v>
                </c:pt>
                <c:pt idx="140">
                  <c:v>0.0202301369863014</c:v>
                </c:pt>
                <c:pt idx="141">
                  <c:v>0.020372602739726</c:v>
                </c:pt>
                <c:pt idx="142">
                  <c:v>0.0205150684931507</c:v>
                </c:pt>
                <c:pt idx="143">
                  <c:v>0.0206575342465753</c:v>
                </c:pt>
                <c:pt idx="144">
                  <c:v>0.0208</c:v>
                </c:pt>
                <c:pt idx="145">
                  <c:v>0.0209424657534247</c:v>
                </c:pt>
                <c:pt idx="146">
                  <c:v>0.0210849315068493</c:v>
                </c:pt>
                <c:pt idx="147">
                  <c:v>0.021227397260274</c:v>
                </c:pt>
                <c:pt idx="148">
                  <c:v>0.0213698630136986</c:v>
                </c:pt>
                <c:pt idx="149">
                  <c:v>0.0215123287671233</c:v>
                </c:pt>
                <c:pt idx="150">
                  <c:v>0.0216547945205479</c:v>
                </c:pt>
                <c:pt idx="151">
                  <c:v>0.0217972602739726</c:v>
                </c:pt>
                <c:pt idx="152">
                  <c:v>0.0219397260273973</c:v>
                </c:pt>
                <c:pt idx="153">
                  <c:v>0.0220821917808219</c:v>
                </c:pt>
                <c:pt idx="154">
                  <c:v>0.0222246575342466</c:v>
                </c:pt>
                <c:pt idx="155">
                  <c:v>0.0223671232876712</c:v>
                </c:pt>
                <c:pt idx="156">
                  <c:v>0.0225095890410959</c:v>
                </c:pt>
                <c:pt idx="157">
                  <c:v>0.0226520547945205</c:v>
                </c:pt>
                <c:pt idx="158">
                  <c:v>0.0227945205479452</c:v>
                </c:pt>
                <c:pt idx="159">
                  <c:v>0.0229369863013699</c:v>
                </c:pt>
                <c:pt idx="160">
                  <c:v>0.0230794520547945</c:v>
                </c:pt>
                <c:pt idx="161">
                  <c:v>0.0232219178082192</c:v>
                </c:pt>
                <c:pt idx="162">
                  <c:v>0.0233643835616438</c:v>
                </c:pt>
                <c:pt idx="163">
                  <c:v>0.0235068493150685</c:v>
                </c:pt>
                <c:pt idx="164">
                  <c:v>0.0236493150684931</c:v>
                </c:pt>
                <c:pt idx="165">
                  <c:v>0.0237917808219178</c:v>
                </c:pt>
                <c:pt idx="166">
                  <c:v>0.0239342465753425</c:v>
                </c:pt>
                <c:pt idx="167">
                  <c:v>0.0240767123287671</c:v>
                </c:pt>
                <c:pt idx="168">
                  <c:v>0.0242191780821918</c:v>
                </c:pt>
                <c:pt idx="169">
                  <c:v>0.0243616438356164</c:v>
                </c:pt>
                <c:pt idx="170">
                  <c:v>0.0245041095890411</c:v>
                </c:pt>
                <c:pt idx="171">
                  <c:v>0.0246465753424658</c:v>
                </c:pt>
                <c:pt idx="172">
                  <c:v>0.0247890410958904</c:v>
                </c:pt>
                <c:pt idx="173">
                  <c:v>0.0249315068493151</c:v>
                </c:pt>
                <c:pt idx="174">
                  <c:v>0.0250739726027397</c:v>
                </c:pt>
                <c:pt idx="175">
                  <c:v>0.0252164383561644</c:v>
                </c:pt>
                <c:pt idx="176">
                  <c:v>0.025358904109589</c:v>
                </c:pt>
                <c:pt idx="177">
                  <c:v>0.0255013698630137</c:v>
                </c:pt>
                <c:pt idx="178">
                  <c:v>0.0256438356164384</c:v>
                </c:pt>
                <c:pt idx="179">
                  <c:v>0.025786301369863</c:v>
                </c:pt>
                <c:pt idx="180">
                  <c:v>0.0259287671232877</c:v>
                </c:pt>
                <c:pt idx="181">
                  <c:v>0.0260712328767123</c:v>
                </c:pt>
                <c:pt idx="182">
                  <c:v>0.026213698630137</c:v>
                </c:pt>
                <c:pt idx="183">
                  <c:v>0.0263561643835616</c:v>
                </c:pt>
                <c:pt idx="184">
                  <c:v>0.0264986301369863</c:v>
                </c:pt>
                <c:pt idx="185">
                  <c:v>0.026641095890411</c:v>
                </c:pt>
                <c:pt idx="186">
                  <c:v>0.0267835616438356</c:v>
                </c:pt>
                <c:pt idx="187">
                  <c:v>0.0269260273972603</c:v>
                </c:pt>
                <c:pt idx="188">
                  <c:v>0.0270684931506849</c:v>
                </c:pt>
                <c:pt idx="189">
                  <c:v>0.0272109589041096</c:v>
                </c:pt>
                <c:pt idx="190">
                  <c:v>0.0273534246575342</c:v>
                </c:pt>
                <c:pt idx="191">
                  <c:v>0.0274958904109589</c:v>
                </c:pt>
                <c:pt idx="192">
                  <c:v>0.0276383561643836</c:v>
                </c:pt>
                <c:pt idx="193">
                  <c:v>0.0277808219178082</c:v>
                </c:pt>
                <c:pt idx="194">
                  <c:v>0.0279232876712329</c:v>
                </c:pt>
                <c:pt idx="195">
                  <c:v>0.0280657534246575</c:v>
                </c:pt>
                <c:pt idx="196">
                  <c:v>0.0282082191780822</c:v>
                </c:pt>
                <c:pt idx="197">
                  <c:v>0.0283506849315068</c:v>
                </c:pt>
                <c:pt idx="198">
                  <c:v>0.0284931506849315</c:v>
                </c:pt>
                <c:pt idx="199">
                  <c:v>0.0286356164383562</c:v>
                </c:pt>
                <c:pt idx="200">
                  <c:v>0.0287780821917808</c:v>
                </c:pt>
                <c:pt idx="201">
                  <c:v>0.0289205479452055</c:v>
                </c:pt>
                <c:pt idx="202">
                  <c:v>0.0290630136986301</c:v>
                </c:pt>
                <c:pt idx="203">
                  <c:v>0.0292054794520548</c:v>
                </c:pt>
                <c:pt idx="204">
                  <c:v>0.0293479452054794</c:v>
                </c:pt>
                <c:pt idx="205">
                  <c:v>0.0294904109589041</c:v>
                </c:pt>
                <c:pt idx="206">
                  <c:v>0.0296328767123288</c:v>
                </c:pt>
                <c:pt idx="207">
                  <c:v>0.0297753424657534</c:v>
                </c:pt>
                <c:pt idx="208">
                  <c:v>0.0299178082191781</c:v>
                </c:pt>
                <c:pt idx="209">
                  <c:v>0.0300602739726027</c:v>
                </c:pt>
                <c:pt idx="210">
                  <c:v>0.0302027397260274</c:v>
                </c:pt>
                <c:pt idx="211">
                  <c:v>0.0303452054794521</c:v>
                </c:pt>
                <c:pt idx="212">
                  <c:v>0.0304876712328767</c:v>
                </c:pt>
                <c:pt idx="213">
                  <c:v>0.0306301369863014</c:v>
                </c:pt>
                <c:pt idx="214">
                  <c:v>0.030772602739726</c:v>
                </c:pt>
                <c:pt idx="215">
                  <c:v>0.0309150684931507</c:v>
                </c:pt>
                <c:pt idx="216">
                  <c:v>0.0310575342465753</c:v>
                </c:pt>
                <c:pt idx="217">
                  <c:v>0.0312</c:v>
                </c:pt>
                <c:pt idx="218">
                  <c:v>0.0313424657534247</c:v>
                </c:pt>
              </c:numCache>
            </c:numRef>
          </c:val>
          <c:smooth val="0"/>
        </c:ser>
        <c:dLbls>
          <c:showLegendKey val="0"/>
          <c:showVal val="0"/>
          <c:showCatName val="0"/>
          <c:showSerName val="0"/>
          <c:showPercent val="0"/>
          <c:showBubbleSize val="0"/>
        </c:dLbls>
        <c:marker val="0"/>
        <c:smooth val="0"/>
        <c:axId val="233565104"/>
        <c:axId val="409440320"/>
      </c:lineChart>
      <c:dateAx>
        <c:axId val="233565104"/>
        <c:scaling>
          <c:orientation val="minMax"/>
        </c:scaling>
        <c:delete val="0"/>
        <c:axPos val="b"/>
        <c:numFmt formatCode="m/d/yyyy" sourceLinked="0"/>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09440320"/>
        <c:crosses val="autoZero"/>
        <c:auto val="1"/>
        <c:lblOffset val="100"/>
        <c:baseTimeUnit val="days"/>
      </c:dateAx>
      <c:valAx>
        <c:axId val="40944032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33565104"/>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820E12B-4200-498A-9C8F-8A3C57B44662}">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9</Pages>
  <Words>3335</Words>
  <Characters>4125</Characters>
  <Lines>33</Lines>
  <Paragraphs>9</Paragraphs>
  <TotalTime>0</TotalTime>
  <ScaleCrop>false</ScaleCrop>
  <LinksUpToDate>false</LinksUpToDate>
  <CharactersWithSpaces>4216</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2020-03-06T01:21:00Z</dcterms:created>
  <dc:creator>gynsh</dc:creator>
  <cp:lastModifiedBy>L•璐•J</cp:lastModifiedBy>
  <cp:lastPrinted>2019-10-15T07:44:00Z</cp:lastPrinted>
  <dcterms:modified xsi:type="dcterms:W3CDTF">2022-08-08T14:02:34Z</dcterms:modified>
  <cp:revision>74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nerator">
    <vt:lpwstr>NPOI</vt:lpwstr>
  </property>
  <property fmtid="{D5CDD505-2E9C-101B-9397-08002B2CF9AE}" pid="3" name="Generator Version">
    <vt:lpwstr>2.2.1</vt:lpwstr>
  </property>
  <property fmtid="{D5CDD505-2E9C-101B-9397-08002B2CF9AE}" pid="4" name="KSOProductBuildVer">
    <vt:lpwstr>2052-11.1.0.12302</vt:lpwstr>
  </property>
  <property fmtid="{D5CDD505-2E9C-101B-9397-08002B2CF9AE}" pid="5" name="ICV">
    <vt:lpwstr>46A3E19795FC4625AA41814516F955D8</vt:lpwstr>
  </property>
</Properties>
</file>