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rPr>
          <w:rFonts w:hint="eastAsia"/>
          <w:b/>
          <w:bCs/>
        </w:rPr>
      </w:pPr>
    </w:p>
    <w:p>
      <w:pPr>
        <w:pStyle w:val="11"/>
        <w:rPr>
          <w:rFonts w:hint="eastAsia"/>
          <w:b/>
          <w:bCs/>
        </w:rPr>
      </w:pPr>
    </w:p>
    <w:p>
      <w:pPr>
        <w:pStyle w:val="11"/>
        <w:rPr>
          <w:rFonts w:hint="eastAsia"/>
          <w:b/>
          <w:bCs/>
        </w:rPr>
      </w:pPr>
    </w:p>
    <w:p>
      <w:pPr>
        <w:pStyle w:val="11"/>
        <w:spacing w:before="240" w:after="120"/>
        <w:rPr>
          <w:rFonts w:ascii="黑体" w:eastAsia="黑体"/>
          <w:b/>
          <w:bCs/>
          <w:sz w:val="36"/>
        </w:rPr>
      </w:pPr>
      <w:r>
        <w:rPr>
          <w:rFonts w:hint="eastAsia" w:ascii="黑体" w:eastAsia="黑体"/>
          <w:b/>
          <w:bCs/>
          <w:sz w:val="36"/>
        </w:rPr>
        <w:t>贵阳农商行超值宝私享第</w:t>
      </w:r>
      <w:r>
        <w:rPr>
          <w:rFonts w:ascii="黑体" w:eastAsia="黑体"/>
          <w:b/>
          <w:bCs/>
          <w:sz w:val="36"/>
        </w:rPr>
        <w:t>12期净值型理财产品</w:t>
      </w:r>
    </w:p>
    <w:p>
      <w:pPr>
        <w:pStyle w:val="11"/>
        <w:spacing w:before="240" w:after="120"/>
        <w:rPr>
          <w:rFonts w:ascii="黑体" w:hAnsi="黑体" w:eastAsia="黑体"/>
          <w:b/>
          <w:bCs/>
          <w:sz w:val="36"/>
        </w:rPr>
      </w:pPr>
      <w:r>
        <w:rPr>
          <w:rFonts w:ascii="黑体" w:hAnsi="黑体" w:eastAsia="黑体"/>
          <w:b/>
          <w:bCs/>
          <w:sz w:val="36"/>
        </w:rPr>
        <w:t>2020年第4季度报告</w:t>
      </w:r>
    </w:p>
    <w:p>
      <w:pPr>
        <w:pStyle w:val="11"/>
        <w:spacing w:before="240" w:after="120"/>
        <w:rPr>
          <w:rFonts w:ascii="黑体" w:hAnsi="黑体" w:eastAsia="黑体"/>
          <w:b/>
          <w:bCs/>
          <w:sz w:val="36"/>
        </w:rPr>
      </w:pPr>
      <w:r>
        <w:rPr>
          <w:rFonts w:ascii="黑体" w:hAnsi="黑体" w:eastAsia="黑体"/>
          <w:b/>
          <w:bCs/>
          <w:sz w:val="36"/>
        </w:rPr>
        <w:t>2020年12月31日</w:t>
      </w:r>
    </w:p>
    <w:p>
      <w:pPr>
        <w:pStyle w:val="11"/>
        <w:spacing w:before="240" w:after="120"/>
        <w:rPr>
          <w:rFonts w:ascii="黑体" w:hAnsi="黑体" w:eastAsia="黑体"/>
          <w:b/>
          <w:bCs/>
          <w:sz w:val="36"/>
        </w:rPr>
      </w:pPr>
    </w:p>
    <w:p>
      <w:pPr>
        <w:pStyle w:val="11"/>
        <w:spacing w:before="240" w:after="120"/>
        <w:rPr>
          <w:rFonts w:ascii="黑体" w:hAnsi="黑体" w:eastAsia="黑体"/>
          <w:b/>
          <w:bCs/>
          <w:sz w:val="36"/>
        </w:rPr>
      </w:pPr>
    </w:p>
    <w:p>
      <w:pPr>
        <w:pStyle w:val="11"/>
        <w:spacing w:before="240" w:after="120"/>
        <w:rPr>
          <w:rFonts w:ascii="黑体" w:hAnsi="黑体" w:eastAsia="黑体"/>
          <w:b/>
          <w:bCs/>
          <w:sz w:val="36"/>
        </w:rPr>
      </w:pPr>
    </w:p>
    <w:p>
      <w:pPr>
        <w:pStyle w:val="11"/>
        <w:spacing w:before="240" w:after="120"/>
        <w:rPr>
          <w:rFonts w:ascii="黑体" w:hAnsi="黑体" w:eastAsia="黑体"/>
          <w:b/>
          <w:bCs/>
          <w:sz w:val="36"/>
        </w:rPr>
      </w:pPr>
    </w:p>
    <w:p>
      <w:pPr>
        <w:pStyle w:val="11"/>
        <w:spacing w:before="240" w:after="120"/>
        <w:rPr>
          <w:rFonts w:ascii="黑体" w:hAnsi="黑体" w:eastAsia="黑体"/>
          <w:b/>
          <w:bCs/>
          <w:sz w:val="36"/>
        </w:rPr>
      </w:pPr>
    </w:p>
    <w:p>
      <w:pPr>
        <w:pStyle w:val="11"/>
        <w:spacing w:before="240" w:after="120"/>
        <w:rPr>
          <w:rFonts w:ascii="黑体" w:hAnsi="黑体" w:eastAsia="黑体"/>
          <w:b/>
          <w:bCs/>
          <w:sz w:val="36"/>
        </w:rPr>
      </w:pPr>
    </w:p>
    <w:p>
      <w:pPr>
        <w:pStyle w:val="11"/>
        <w:spacing w:before="240" w:after="120"/>
        <w:rPr>
          <w:rFonts w:ascii="黑体" w:hAnsi="黑体" w:eastAsia="黑体"/>
          <w:b/>
          <w:bCs/>
          <w:sz w:val="36"/>
        </w:rPr>
      </w:pPr>
    </w:p>
    <w:p>
      <w:pPr>
        <w:pStyle w:val="11"/>
        <w:spacing w:before="240" w:after="120"/>
        <w:rPr>
          <w:rFonts w:ascii="黑体" w:hAnsi="黑体" w:eastAsia="黑体"/>
          <w:b/>
          <w:bCs/>
          <w:sz w:val="36"/>
        </w:rPr>
      </w:pPr>
    </w:p>
    <w:p>
      <w:pPr>
        <w:pStyle w:val="11"/>
        <w:spacing w:before="240" w:after="120"/>
        <w:rPr>
          <w:rFonts w:ascii="黑体" w:hAnsi="黑体" w:eastAsia="黑体"/>
          <w:b/>
          <w:bCs/>
          <w:sz w:val="36"/>
        </w:rPr>
      </w:pPr>
    </w:p>
    <w:p>
      <w:pPr>
        <w:pStyle w:val="11"/>
        <w:spacing w:before="240" w:after="120"/>
        <w:rPr>
          <w:b/>
          <w:bCs/>
        </w:rPr>
      </w:pPr>
      <w:r>
        <w:rPr>
          <w:b/>
          <w:bCs/>
        </w:rPr>
        <w:t>产品管理人:贵阳农村商业银行股份有限公司</w:t>
      </w:r>
    </w:p>
    <w:p>
      <w:pPr>
        <w:pStyle w:val="11"/>
        <w:spacing w:before="240" w:after="120"/>
        <w:rPr>
          <w:b/>
          <w:bCs/>
        </w:rPr>
      </w:pPr>
      <w:r>
        <w:rPr>
          <w:b/>
          <w:bCs/>
        </w:rPr>
        <w:t>产品托管人:南京银行股份有限公司</w:t>
      </w:r>
    </w:p>
    <w:p>
      <w:pPr>
        <w:pStyle w:val="11"/>
        <w:spacing w:before="240" w:after="120"/>
      </w:pPr>
      <w:r>
        <w:rPr>
          <w:rFonts w:hint="eastAsia"/>
          <w:b/>
          <w:bCs/>
        </w:rPr>
        <w:br w:type="page"/>
      </w:r>
      <w:r>
        <w:rPr>
          <w:rFonts w:hint="eastAsia"/>
          <w:b/>
          <w:bCs/>
        </w:rPr>
        <w:t>§1  重要提示</w:t>
      </w:r>
    </w:p>
    <w:p>
      <w:pPr>
        <w:spacing w:beforeLines="50" w:afterLines="50" w:line="600" w:lineRule="exact"/>
        <w:ind w:firstLine="440" w:firstLineChars="200"/>
        <w:rPr>
          <w:rFonts w:ascii="仿宋" w:hAnsi="仿宋" w:eastAsia="仿宋"/>
          <w:sz w:val="22"/>
          <w:szCs w:val="20"/>
        </w:rPr>
      </w:pPr>
      <w:r>
        <w:rPr>
          <w:rFonts w:hint="eastAsia" w:ascii="仿宋" w:hAnsi="仿宋" w:eastAsia="仿宋"/>
          <w:sz w:val="22"/>
          <w:szCs w:val="20"/>
        </w:rPr>
        <w:t>产品管理人保证本报告所载资料不存在虚假记载、误导性陈述或重大遗漏，并对其内容的真实性、准确性和完整性承担个别及连带责任。</w:t>
      </w:r>
    </w:p>
    <w:p>
      <w:pPr>
        <w:spacing w:beforeLines="50" w:afterLines="50" w:line="600" w:lineRule="exact"/>
        <w:ind w:firstLine="440" w:firstLineChars="200"/>
        <w:rPr>
          <w:rFonts w:ascii="仿宋" w:hAnsi="仿宋" w:eastAsia="仿宋"/>
          <w:sz w:val="22"/>
          <w:szCs w:val="20"/>
        </w:rPr>
      </w:pPr>
      <w:r>
        <w:rPr>
          <w:rFonts w:hint="eastAsia" w:ascii="仿宋" w:hAnsi="仿宋" w:eastAsia="仿宋"/>
          <w:sz w:val="22"/>
          <w:szCs w:val="20"/>
        </w:rPr>
        <w:t>产品托管人南京银行股份有限公司，已复核了本报告中的财务指标、净值表现和投资组合报告等内容，保证复核内容不存在虚假记载、误导性陈述或者重大遗漏。</w:t>
      </w:r>
    </w:p>
    <w:p>
      <w:pPr>
        <w:spacing w:beforeLines="50" w:afterLines="50" w:line="600" w:lineRule="exact"/>
        <w:ind w:firstLine="440" w:firstLineChars="200"/>
        <w:rPr>
          <w:rFonts w:ascii="仿宋" w:hAnsi="仿宋" w:eastAsia="仿宋"/>
          <w:sz w:val="22"/>
          <w:szCs w:val="20"/>
        </w:rPr>
      </w:pPr>
      <w:r>
        <w:rPr>
          <w:rFonts w:hint="eastAsia" w:ascii="仿宋" w:hAnsi="仿宋" w:eastAsia="仿宋"/>
          <w:sz w:val="22"/>
          <w:szCs w:val="20"/>
        </w:rPr>
        <w:t>本报告中财务资料未经审计。</w:t>
      </w:r>
    </w:p>
    <w:p>
      <w:pPr>
        <w:spacing w:beforeLines="50" w:afterLines="50" w:line="600" w:lineRule="exact"/>
        <w:ind w:firstLine="440" w:firstLineChars="200"/>
        <w:rPr>
          <w:rFonts w:ascii="仿宋" w:hAnsi="仿宋" w:eastAsia="仿宋"/>
          <w:sz w:val="22"/>
          <w:szCs w:val="20"/>
        </w:rPr>
      </w:pPr>
      <w:r>
        <w:rPr>
          <w:rFonts w:hint="eastAsia" w:ascii="仿宋" w:hAnsi="仿宋" w:eastAsia="仿宋"/>
          <w:sz w:val="22"/>
          <w:szCs w:val="20"/>
        </w:rPr>
        <w:t>本报告期自</w:t>
      </w:r>
      <w:r>
        <w:rPr>
          <w:rFonts w:ascii="仿宋" w:hAnsi="仿宋" w:eastAsia="仿宋"/>
          <w:sz w:val="22"/>
          <w:szCs w:val="20"/>
        </w:rPr>
        <w:t>2020</w:t>
      </w:r>
      <w:r>
        <w:rPr>
          <w:rFonts w:hint="eastAsia" w:ascii="仿宋" w:hAnsi="仿宋" w:eastAsia="仿宋"/>
          <w:sz w:val="22"/>
          <w:szCs w:val="20"/>
        </w:rPr>
        <w:t>年10月</w:t>
      </w:r>
      <w:r>
        <w:rPr>
          <w:rFonts w:ascii="仿宋" w:hAnsi="仿宋" w:eastAsia="仿宋"/>
          <w:sz w:val="22"/>
          <w:szCs w:val="20"/>
        </w:rPr>
        <w:t>01</w:t>
      </w:r>
      <w:r>
        <w:rPr>
          <w:rFonts w:hint="eastAsia" w:ascii="仿宋" w:hAnsi="仿宋" w:eastAsia="仿宋"/>
          <w:sz w:val="22"/>
          <w:szCs w:val="20"/>
        </w:rPr>
        <w:t>日起至</w:t>
      </w:r>
      <w:r>
        <w:rPr>
          <w:rFonts w:ascii="仿宋" w:hAnsi="仿宋" w:eastAsia="仿宋"/>
          <w:sz w:val="22"/>
          <w:szCs w:val="20"/>
        </w:rPr>
        <w:t>2020</w:t>
      </w:r>
      <w:r>
        <w:rPr>
          <w:rFonts w:hint="eastAsia" w:ascii="仿宋" w:hAnsi="仿宋" w:eastAsia="仿宋"/>
          <w:sz w:val="22"/>
          <w:szCs w:val="20"/>
        </w:rPr>
        <w:t>年12月</w:t>
      </w:r>
      <w:r>
        <w:rPr>
          <w:rFonts w:ascii="仿宋" w:hAnsi="仿宋" w:eastAsia="仿宋"/>
          <w:sz w:val="22"/>
          <w:szCs w:val="20"/>
        </w:rPr>
        <w:t>3</w:t>
      </w:r>
      <w:r>
        <w:rPr>
          <w:rFonts w:hint="eastAsia" w:ascii="仿宋" w:hAnsi="仿宋" w:eastAsia="仿宋"/>
          <w:sz w:val="22"/>
          <w:szCs w:val="20"/>
        </w:rPr>
        <w:t>1日止。</w:t>
      </w:r>
    </w:p>
    <w:p>
      <w:pPr>
        <w:spacing w:beforeLines="50" w:afterLines="50" w:line="600" w:lineRule="exact"/>
        <w:ind w:firstLine="440" w:firstLineChars="200"/>
        <w:rPr>
          <w:rFonts w:ascii="仿宋" w:hAnsi="仿宋" w:eastAsia="仿宋"/>
          <w:sz w:val="22"/>
          <w:szCs w:val="20"/>
        </w:rPr>
      </w:pPr>
    </w:p>
    <w:p>
      <w:pPr>
        <w:spacing w:beforeLines="50" w:afterLines="50" w:line="600" w:lineRule="exact"/>
        <w:ind w:firstLine="420" w:firstLineChars="200"/>
        <w:rPr>
          <w:rFonts w:ascii="仿宋" w:hAnsi="仿宋" w:eastAsia="仿宋"/>
          <w:szCs w:val="20"/>
        </w:rPr>
      </w:pPr>
    </w:p>
    <w:p>
      <w:pPr>
        <w:spacing w:beforeLines="50" w:afterLines="50" w:line="600" w:lineRule="exact"/>
        <w:ind w:firstLine="420" w:firstLineChars="200"/>
        <w:rPr>
          <w:rFonts w:ascii="仿宋" w:hAnsi="仿宋" w:eastAsia="仿宋"/>
          <w:szCs w:val="20"/>
        </w:rPr>
      </w:pPr>
    </w:p>
    <w:p>
      <w:pPr>
        <w:spacing w:beforeLines="50" w:afterLines="50" w:line="600" w:lineRule="exact"/>
        <w:ind w:firstLine="420" w:firstLineChars="200"/>
        <w:rPr>
          <w:rFonts w:ascii="仿宋" w:hAnsi="仿宋" w:eastAsia="仿宋"/>
          <w:szCs w:val="20"/>
        </w:rPr>
      </w:pPr>
    </w:p>
    <w:p>
      <w:pPr>
        <w:spacing w:beforeLines="50" w:afterLines="50" w:line="600" w:lineRule="exact"/>
        <w:ind w:firstLine="420" w:firstLineChars="200"/>
        <w:rPr>
          <w:rFonts w:ascii="仿宋" w:hAnsi="仿宋" w:eastAsia="仿宋"/>
          <w:szCs w:val="20"/>
        </w:rPr>
      </w:pPr>
    </w:p>
    <w:p>
      <w:pPr>
        <w:spacing w:beforeLines="50" w:afterLines="50" w:line="600" w:lineRule="exact"/>
        <w:ind w:firstLine="420" w:firstLineChars="200"/>
        <w:rPr>
          <w:rFonts w:ascii="仿宋" w:hAnsi="仿宋" w:eastAsia="仿宋"/>
          <w:szCs w:val="20"/>
        </w:rPr>
      </w:pPr>
    </w:p>
    <w:p>
      <w:pPr>
        <w:spacing w:beforeLines="50" w:afterLines="50" w:line="600" w:lineRule="exact"/>
        <w:ind w:firstLine="420" w:firstLineChars="200"/>
        <w:rPr>
          <w:rFonts w:ascii="仿宋" w:hAnsi="仿宋" w:eastAsia="仿宋"/>
          <w:szCs w:val="20"/>
        </w:rPr>
      </w:pPr>
    </w:p>
    <w:p>
      <w:pPr>
        <w:spacing w:beforeLines="50" w:afterLines="50" w:line="600" w:lineRule="exact"/>
        <w:ind w:firstLine="420" w:firstLineChars="200"/>
        <w:rPr>
          <w:rFonts w:ascii="仿宋" w:hAnsi="仿宋" w:eastAsia="仿宋"/>
          <w:szCs w:val="20"/>
        </w:rPr>
      </w:pPr>
    </w:p>
    <w:p>
      <w:pPr>
        <w:spacing w:beforeLines="50" w:afterLines="50" w:line="600" w:lineRule="exact"/>
        <w:ind w:firstLine="420" w:firstLineChars="200"/>
        <w:rPr>
          <w:rFonts w:ascii="仿宋" w:hAnsi="仿宋" w:eastAsia="仿宋"/>
          <w:szCs w:val="20"/>
        </w:rPr>
      </w:pPr>
    </w:p>
    <w:p>
      <w:pPr>
        <w:spacing w:beforeLines="50" w:afterLines="50" w:line="600" w:lineRule="exact"/>
        <w:ind w:firstLine="420" w:firstLineChars="200"/>
        <w:rPr>
          <w:rFonts w:ascii="仿宋" w:hAnsi="仿宋" w:eastAsia="仿宋"/>
          <w:szCs w:val="20"/>
        </w:rPr>
      </w:pPr>
    </w:p>
    <w:p>
      <w:pPr>
        <w:spacing w:beforeLines="50" w:afterLines="50" w:line="600" w:lineRule="exact"/>
        <w:ind w:firstLine="420" w:firstLineChars="200"/>
        <w:rPr>
          <w:rFonts w:ascii="仿宋" w:hAnsi="仿宋" w:eastAsia="仿宋"/>
          <w:szCs w:val="20"/>
        </w:rPr>
      </w:pPr>
    </w:p>
    <w:p>
      <w:pPr>
        <w:spacing w:beforeLines="50" w:afterLines="50" w:line="600" w:lineRule="exact"/>
        <w:ind w:firstLine="420" w:firstLineChars="200"/>
        <w:rPr>
          <w:rFonts w:ascii="仿宋" w:hAnsi="仿宋" w:eastAsia="仿宋"/>
          <w:szCs w:val="20"/>
        </w:rPr>
      </w:pPr>
    </w:p>
    <w:p>
      <w:pPr>
        <w:widowControl/>
        <w:jc w:val="left"/>
        <w:rPr>
          <w:rFonts w:ascii="宋体" w:cs="宋体"/>
          <w:kern w:val="0"/>
          <w:sz w:val="24"/>
          <w:szCs w:val="24"/>
        </w:rPr>
      </w:pPr>
    </w:p>
    <w:p>
      <w:pPr>
        <w:widowControl/>
        <w:jc w:val="left"/>
        <w:rPr>
          <w:rFonts w:hint="eastAsia" w:ascii="宋体" w:hAnsi="宋体" w:cs="宋体"/>
          <w:kern w:val="0"/>
          <w:sz w:val="24"/>
          <w:szCs w:val="24"/>
        </w:rPr>
      </w:pPr>
    </w:p>
    <w:p>
      <w:pPr>
        <w:pStyle w:val="11"/>
        <w:rPr>
          <w:rFonts w:hint="eastAsia" w:hAnsi="Calibri"/>
          <w:b/>
          <w:color w:val="000000"/>
        </w:rPr>
      </w:pPr>
    </w:p>
    <w:p>
      <w:pPr>
        <w:pStyle w:val="11"/>
        <w:rPr>
          <w:rFonts w:hint="eastAsia"/>
        </w:rPr>
      </w:pPr>
      <w:r>
        <w:rPr>
          <w:rFonts w:hint="eastAsia" w:hAnsi="Calibri"/>
          <w:b/>
          <w:color w:val="000000"/>
        </w:rPr>
        <w:t>§2  产品概况</w:t>
      </w:r>
    </w:p>
    <w:tbl>
      <w:tblPr>
        <w:tblStyle w:val="4"/>
        <w:tblpPr w:leftFromText="180" w:rightFromText="180" w:vertAnchor="text" w:horzAnchor="margin" w:tblpY="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3"/>
        <w:gridCol w:w="6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产品名称</w:t>
            </w:r>
          </w:p>
        </w:tc>
        <w:tc>
          <w:tcPr>
            <w:tcW w:w="3419" w:type="pct"/>
            <w:vAlign w:val="center"/>
          </w:tcPr>
          <w:p>
            <w:pPr>
              <w:rPr>
                <w:rFonts w:ascii="宋体" w:cs="宋体"/>
                <w:kern w:val="0"/>
                <w:sz w:val="24"/>
                <w:szCs w:val="24"/>
              </w:rPr>
            </w:pPr>
            <w:r>
              <w:rPr>
                <w:rFonts w:hint="eastAsia" w:ascii="宋体" w:hAnsi="宋体" w:cs="宋体"/>
                <w:kern w:val="0"/>
                <w:sz w:val="24"/>
                <w:szCs w:val="24"/>
              </w:rPr>
              <w:t>贵阳农商银行超值宝私享第</w:t>
            </w:r>
            <w:r>
              <w:rPr>
                <w:rFonts w:ascii="宋体" w:hAnsi="宋体" w:cs="宋体"/>
                <w:kern w:val="0"/>
                <w:sz w:val="24"/>
                <w:szCs w:val="24"/>
              </w:rPr>
              <w:t>1</w:t>
            </w:r>
            <w:r>
              <w:rPr>
                <w:rFonts w:hint="eastAsia" w:ascii="宋体" w:hAnsi="宋体" w:cs="宋体"/>
                <w:kern w:val="0"/>
                <w:sz w:val="24"/>
                <w:szCs w:val="24"/>
              </w:rPr>
              <w:t>2期净值型理财产品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产品登记编码</w:t>
            </w:r>
          </w:p>
        </w:tc>
        <w:tc>
          <w:tcPr>
            <w:tcW w:w="3419" w:type="pct"/>
            <w:vAlign w:val="center"/>
          </w:tcPr>
          <w:p>
            <w:pPr>
              <w:rPr>
                <w:rFonts w:ascii="宋体" w:cs="宋体"/>
                <w:kern w:val="0"/>
                <w:sz w:val="24"/>
                <w:szCs w:val="24"/>
              </w:rPr>
            </w:pPr>
            <w:r>
              <w:rPr>
                <w:rFonts w:ascii="宋体" w:hAnsi="宋体" w:cs="宋体"/>
                <w:kern w:val="0"/>
                <w:sz w:val="24"/>
                <w:szCs w:val="24"/>
              </w:rPr>
              <w:t>C118832</w:t>
            </w:r>
            <w:r>
              <w:rPr>
                <w:rFonts w:hint="eastAsia" w:ascii="宋体" w:hAnsi="宋体" w:cs="宋体"/>
                <w:kern w:val="0"/>
                <w:sz w:val="24"/>
                <w:szCs w:val="24"/>
              </w:rPr>
              <w:t>A</w:t>
            </w:r>
            <w:r>
              <w:rPr>
                <w:rFonts w:ascii="宋体" w:cs="宋体"/>
                <w:kern w:val="0"/>
                <w:sz w:val="24"/>
                <w:szCs w:val="24"/>
              </w:rPr>
              <w:t>0000</w:t>
            </w:r>
            <w:r>
              <w:rPr>
                <w:rFonts w:ascii="宋体" w:hAnsi="宋体" w:cs="宋体"/>
                <w:kern w:val="0"/>
                <w:sz w:val="24"/>
                <w:szCs w:val="24"/>
              </w:rPr>
              <w:t>2</w:t>
            </w:r>
            <w:r>
              <w:rPr>
                <w:rFonts w:hint="eastAsia" w:ascii="宋体" w:hAnsi="宋体" w:cs="宋体"/>
                <w:kern w:val="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产品类型</w:t>
            </w:r>
          </w:p>
        </w:tc>
        <w:tc>
          <w:tcPr>
            <w:tcW w:w="3419" w:type="pct"/>
            <w:vAlign w:val="center"/>
          </w:tcPr>
          <w:p>
            <w:pPr>
              <w:rPr>
                <w:rFonts w:ascii="宋体" w:cs="宋体"/>
                <w:kern w:val="0"/>
                <w:sz w:val="24"/>
                <w:szCs w:val="24"/>
              </w:rPr>
            </w:pPr>
            <w:r>
              <w:rPr>
                <w:rFonts w:hint="eastAsia" w:ascii="宋体" w:hAnsi="宋体" w:cs="宋体"/>
                <w:kern w:val="0"/>
                <w:sz w:val="24"/>
                <w:szCs w:val="24"/>
              </w:rPr>
              <w:t>私募封闭式净值型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报告期末产品存续规模（份）</w:t>
            </w:r>
          </w:p>
        </w:tc>
        <w:tc>
          <w:tcPr>
            <w:tcW w:w="3419" w:type="pct"/>
            <w:vAlign w:val="center"/>
          </w:tcPr>
          <w:p>
            <w:pPr>
              <w:rPr>
                <w:rFonts w:ascii="宋体" w:cs="宋体"/>
                <w:kern w:val="0"/>
                <w:sz w:val="24"/>
                <w:szCs w:val="24"/>
              </w:rPr>
            </w:pPr>
            <w:r>
              <w:rPr>
                <w:rFonts w:ascii="宋体" w:hAnsi="宋体" w:cs="宋体"/>
                <w:kern w:val="0"/>
                <w:sz w:val="24"/>
                <w:szCs w:val="24"/>
              </w:rPr>
              <w:t>52,100,000.00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投资类型</w:t>
            </w:r>
          </w:p>
        </w:tc>
        <w:tc>
          <w:tcPr>
            <w:tcW w:w="3419" w:type="pct"/>
            <w:vAlign w:val="center"/>
          </w:tcPr>
          <w:p>
            <w:pPr>
              <w:rPr>
                <w:rFonts w:ascii="宋体" w:cs="宋体"/>
                <w:kern w:val="0"/>
                <w:sz w:val="24"/>
                <w:szCs w:val="24"/>
              </w:rPr>
            </w:pPr>
            <w:r>
              <w:rPr>
                <w:rFonts w:hint="eastAsia" w:ascii="宋体" w:hAnsi="宋体" w:cs="宋体"/>
                <w:kern w:val="0"/>
                <w:sz w:val="24"/>
                <w:szCs w:val="24"/>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投资范围</w:t>
            </w:r>
          </w:p>
        </w:tc>
        <w:tc>
          <w:tcPr>
            <w:tcW w:w="3419" w:type="pct"/>
            <w:vAlign w:val="center"/>
          </w:tcPr>
          <w:p>
            <w:pPr>
              <w:rPr>
                <w:rFonts w:ascii="宋体" w:cs="宋体"/>
                <w:kern w:val="0"/>
                <w:sz w:val="24"/>
                <w:szCs w:val="24"/>
              </w:rPr>
            </w:pPr>
            <w:r>
              <w:rPr>
                <w:rFonts w:hint="eastAsia" w:ascii="宋体" w:hAnsi="宋体" w:cs="宋体"/>
                <w:kern w:val="0"/>
                <w:sz w:val="24"/>
                <w:szCs w:val="24"/>
              </w:rPr>
              <w:t>本期产品理财资金投资于符合监管要求的投资工具，包括：现金类资产、货币类资产、标准化固定收益类资产、符合前述投向的信托计划及资产管理计划；投资于现金类资产、货币类资产、标准化固定收益类资产及符合前述投向的信托计划、资产管理计划的比例为</w:t>
            </w:r>
            <w:r>
              <w:rPr>
                <w:rFonts w:ascii="宋体" w:hAnsi="宋体" w:cs="宋体"/>
                <w:kern w:val="0"/>
                <w:sz w:val="24"/>
                <w:szCs w:val="24"/>
              </w:rPr>
              <w:t>80%-100%</w:t>
            </w:r>
            <w:r>
              <w:rPr>
                <w:rFonts w:hint="eastAsia" w:ascii="宋体" w:hAnsi="宋体" w:cs="宋体"/>
                <w:kern w:val="0"/>
                <w:sz w:val="24"/>
                <w:szCs w:val="24"/>
              </w:rPr>
              <w:t>；其他符合监管要求的资产</w:t>
            </w:r>
            <w:r>
              <w:rPr>
                <w:rFonts w:ascii="宋体" w:hAnsi="宋体" w:cs="宋体"/>
                <w:kern w:val="0"/>
                <w:sz w:val="24"/>
                <w:szCs w:val="24"/>
              </w:rPr>
              <w:t>0%-20%</w:t>
            </w:r>
            <w:r>
              <w:rPr>
                <w:rFonts w:hint="eastAsia" w:ascii="宋体" w:hAnsi="宋体" w:cs="宋体"/>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投资策略</w:t>
            </w:r>
          </w:p>
        </w:tc>
        <w:tc>
          <w:tcPr>
            <w:tcW w:w="3419" w:type="pct"/>
            <w:vAlign w:val="center"/>
          </w:tcPr>
          <w:p>
            <w:pPr>
              <w:rPr>
                <w:rFonts w:ascii="宋体" w:cs="宋体"/>
                <w:kern w:val="0"/>
                <w:sz w:val="24"/>
                <w:szCs w:val="24"/>
              </w:rPr>
            </w:pPr>
            <w:r>
              <w:rPr>
                <w:rFonts w:hint="eastAsia" w:ascii="宋体" w:hAnsi="宋体" w:cs="宋体"/>
                <w:kern w:val="0"/>
                <w:sz w:val="24"/>
                <w:szCs w:val="24"/>
              </w:rPr>
              <w:t>通过自上而下的定性分析和定量分析方法，综合分析宏观经济形势、国家政策、市场流动性等因素，综合判断利率走势、收益率曲线变化趋势和信用风险变化等，同时通过自下而上加强行业研究和个券选择，构建和调整固定收益投资组合，采取票息策略，严格控制组合久期和杠杆水平，力求获得稳健的投资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产品费率</w:t>
            </w:r>
          </w:p>
        </w:tc>
        <w:tc>
          <w:tcPr>
            <w:tcW w:w="3419" w:type="pct"/>
            <w:vAlign w:val="center"/>
          </w:tcPr>
          <w:p>
            <w:pPr>
              <w:rPr>
                <w:rFonts w:ascii="宋体" w:cs="宋体"/>
                <w:kern w:val="0"/>
                <w:sz w:val="24"/>
                <w:szCs w:val="24"/>
              </w:rPr>
            </w:pPr>
            <w:r>
              <w:rPr>
                <w:rFonts w:hint="eastAsia" w:ascii="宋体" w:hAnsi="宋体" w:cs="宋体"/>
                <w:kern w:val="0"/>
                <w:sz w:val="24"/>
                <w:szCs w:val="24"/>
              </w:rPr>
              <w:t>本产品收取固定销售费</w:t>
            </w:r>
            <w:r>
              <w:rPr>
                <w:rFonts w:ascii="宋体" w:hAnsi="宋体" w:cs="宋体"/>
                <w:kern w:val="0"/>
                <w:sz w:val="24"/>
                <w:szCs w:val="24"/>
              </w:rPr>
              <w:t>0.20%/</w:t>
            </w:r>
            <w:r>
              <w:rPr>
                <w:rFonts w:hint="eastAsia" w:ascii="宋体" w:hAnsi="宋体" w:cs="宋体"/>
                <w:kern w:val="0"/>
                <w:sz w:val="24"/>
                <w:szCs w:val="24"/>
              </w:rPr>
              <w:t>年，固定管理费</w:t>
            </w:r>
            <w:r>
              <w:rPr>
                <w:rFonts w:ascii="宋体" w:hAnsi="宋体" w:cs="宋体"/>
                <w:kern w:val="0"/>
                <w:sz w:val="24"/>
                <w:szCs w:val="24"/>
              </w:rPr>
              <w:t>0.30%/</w:t>
            </w:r>
            <w:r>
              <w:rPr>
                <w:rFonts w:hint="eastAsia" w:ascii="宋体" w:hAnsi="宋体" w:cs="宋体"/>
                <w:kern w:val="0"/>
                <w:sz w:val="24"/>
                <w:szCs w:val="24"/>
              </w:rPr>
              <w:t>年、固定托管费</w:t>
            </w:r>
            <w:r>
              <w:rPr>
                <w:rFonts w:ascii="宋体" w:cs="宋体"/>
                <w:kern w:val="0"/>
                <w:sz w:val="24"/>
                <w:szCs w:val="24"/>
              </w:rPr>
              <w:t>0.0</w:t>
            </w:r>
            <w:r>
              <w:rPr>
                <w:rFonts w:ascii="宋体" w:hAnsi="宋体" w:cs="宋体"/>
                <w:kern w:val="0"/>
                <w:sz w:val="24"/>
                <w:szCs w:val="24"/>
              </w:rPr>
              <w:t>1%/</w:t>
            </w:r>
            <w:r>
              <w:rPr>
                <w:rFonts w:hint="eastAsia" w:ascii="宋体" w:hAnsi="宋体" w:cs="宋体"/>
                <w:kern w:val="0"/>
                <w:sz w:val="24"/>
                <w:szCs w:val="24"/>
              </w:rPr>
              <w:t>年和超额业绩报酬（如有），上述费用在计算产品单位净值前扣除。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产品成立日</w:t>
            </w:r>
          </w:p>
        </w:tc>
        <w:tc>
          <w:tcPr>
            <w:tcW w:w="3419" w:type="pct"/>
            <w:vAlign w:val="center"/>
          </w:tcPr>
          <w:p>
            <w:pPr>
              <w:rPr>
                <w:rFonts w:ascii="宋体" w:cs="宋体"/>
                <w:kern w:val="0"/>
                <w:sz w:val="24"/>
                <w:szCs w:val="24"/>
              </w:rPr>
            </w:pPr>
            <w:r>
              <w:rPr>
                <w:rFonts w:ascii="宋体" w:hAnsi="宋体" w:cs="宋体"/>
                <w:kern w:val="0"/>
                <w:sz w:val="24"/>
                <w:szCs w:val="24"/>
              </w:rPr>
              <w:t>2020</w:t>
            </w:r>
            <w:r>
              <w:rPr>
                <w:rFonts w:hint="eastAsia" w:ascii="宋体" w:hAnsi="宋体" w:cs="宋体"/>
                <w:kern w:val="0"/>
                <w:sz w:val="24"/>
                <w:szCs w:val="24"/>
              </w:rPr>
              <w:t>年7月</w:t>
            </w:r>
            <w:r>
              <w:rPr>
                <w:rFonts w:ascii="宋体" w:hAnsi="宋体" w:cs="宋体"/>
                <w:kern w:val="0"/>
                <w:sz w:val="24"/>
                <w:szCs w:val="24"/>
              </w:rPr>
              <w:t>1</w:t>
            </w:r>
            <w:r>
              <w:rPr>
                <w:rFonts w:hint="eastAsia" w:ascii="宋体" w:hAnsi="宋体" w:cs="宋体"/>
                <w:kern w:val="0"/>
                <w:sz w:val="24"/>
                <w:szCs w:val="24"/>
              </w:rPr>
              <w:t>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产品终止日</w:t>
            </w:r>
          </w:p>
        </w:tc>
        <w:tc>
          <w:tcPr>
            <w:tcW w:w="3419" w:type="pct"/>
            <w:vAlign w:val="center"/>
          </w:tcPr>
          <w:p>
            <w:pPr>
              <w:rPr>
                <w:rFonts w:ascii="宋体" w:cs="宋体"/>
                <w:kern w:val="0"/>
                <w:sz w:val="24"/>
                <w:szCs w:val="24"/>
              </w:rPr>
            </w:pPr>
            <w:r>
              <w:rPr>
                <w:rFonts w:ascii="宋体" w:hAnsi="宋体" w:cs="宋体"/>
                <w:kern w:val="0"/>
                <w:sz w:val="24"/>
                <w:szCs w:val="24"/>
              </w:rPr>
              <w:t>2021</w:t>
            </w:r>
            <w:r>
              <w:rPr>
                <w:rFonts w:hint="eastAsia" w:ascii="宋体" w:hAnsi="宋体" w:cs="宋体"/>
                <w:kern w:val="0"/>
                <w:sz w:val="24"/>
                <w:szCs w:val="24"/>
              </w:rPr>
              <w:t>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产品估值方法</w:t>
            </w:r>
          </w:p>
        </w:tc>
        <w:tc>
          <w:tcPr>
            <w:tcW w:w="3419" w:type="pct"/>
            <w:vAlign w:val="center"/>
          </w:tcPr>
          <w:p>
            <w:pPr>
              <w:rPr>
                <w:rFonts w:ascii="宋体" w:cs="宋体"/>
                <w:kern w:val="0"/>
                <w:sz w:val="24"/>
                <w:szCs w:val="24"/>
              </w:rPr>
            </w:pPr>
            <w:r>
              <w:rPr>
                <w:rFonts w:hint="eastAsia" w:ascii="宋体" w:hAnsi="宋体" w:cs="宋体"/>
                <w:kern w:val="0"/>
                <w:sz w:val="24"/>
                <w:szCs w:val="24"/>
              </w:rPr>
              <w:t>现金银行存款以成本列示，逐日计提应收存款利息；交易所、银行间债券、资产支持证券等有价证券按市场价格估值，按中央国债登记结算有限责任公司公布的净价进行估值；资产管理产品，披露份额净值的，按最近一日份额净值估值，披露收益率的，按成本估值，按收益率计提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杠杠水平</w:t>
            </w:r>
          </w:p>
        </w:tc>
        <w:tc>
          <w:tcPr>
            <w:tcW w:w="3419" w:type="pct"/>
            <w:vAlign w:val="center"/>
          </w:tcPr>
          <w:p>
            <w:pPr>
              <w:rPr>
                <w:rFonts w:ascii="宋体" w:hAnsi="宋体" w:cs="宋体"/>
                <w:kern w:val="0"/>
                <w:sz w:val="24"/>
                <w:szCs w:val="24"/>
              </w:rPr>
            </w:pPr>
            <w:r>
              <w:rPr>
                <w:rFonts w:ascii="宋体" w:hAnsi="宋体" w:cs="宋体"/>
                <w:kern w:val="0"/>
                <w:sz w:val="24"/>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业绩比较基准</w:t>
            </w:r>
          </w:p>
        </w:tc>
        <w:tc>
          <w:tcPr>
            <w:tcW w:w="3419" w:type="pct"/>
            <w:vAlign w:val="center"/>
          </w:tcPr>
          <w:p>
            <w:pPr>
              <w:rPr>
                <w:rFonts w:ascii="宋体" w:cs="宋体"/>
                <w:kern w:val="0"/>
                <w:sz w:val="24"/>
                <w:szCs w:val="24"/>
              </w:rPr>
            </w:pPr>
            <w:r>
              <w:rPr>
                <w:rFonts w:ascii="宋体" w:hAnsi="宋体" w:cs="宋体"/>
                <w:kern w:val="0"/>
                <w:sz w:val="24"/>
                <w:szCs w:val="24"/>
              </w:rPr>
              <w:t>6.</w:t>
            </w:r>
            <w:r>
              <w:rPr>
                <w:rFonts w:hint="eastAsia" w:ascii="宋体" w:hAnsi="宋体" w:cs="宋体"/>
                <w:kern w:val="0"/>
                <w:sz w:val="24"/>
                <w:szCs w:val="24"/>
              </w:rPr>
              <w:t>5</w:t>
            </w:r>
            <w:r>
              <w:rPr>
                <w:rFonts w:ascii="宋体" w:hAnsi="宋体" w:cs="宋体"/>
                <w:kern w:val="0"/>
                <w:sz w:val="24"/>
                <w:szCs w:val="24"/>
              </w:rPr>
              <w:t>%/</w:t>
            </w:r>
            <w:r>
              <w:rPr>
                <w:rFonts w:hint="eastAsia" w:ascii="宋体" w:hAnsi="宋体" w:cs="宋体"/>
                <w:kern w:val="0"/>
                <w:sz w:val="24"/>
                <w:szCs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风险等级</w:t>
            </w:r>
          </w:p>
        </w:tc>
        <w:tc>
          <w:tcPr>
            <w:tcW w:w="3419" w:type="pct"/>
            <w:vAlign w:val="center"/>
          </w:tcPr>
          <w:p>
            <w:pPr>
              <w:rPr>
                <w:rFonts w:ascii="宋体" w:cs="宋体"/>
                <w:kern w:val="0"/>
                <w:sz w:val="24"/>
                <w:szCs w:val="24"/>
              </w:rPr>
            </w:pPr>
            <w:r>
              <w:rPr>
                <w:rFonts w:hint="eastAsia" w:ascii="宋体" w:hAnsi="宋体" w:cs="宋体"/>
                <w:kern w:val="0"/>
                <w:sz w:val="24"/>
                <w:szCs w:val="24"/>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产品管理人</w:t>
            </w:r>
          </w:p>
        </w:tc>
        <w:tc>
          <w:tcPr>
            <w:tcW w:w="3419" w:type="pct"/>
            <w:vAlign w:val="center"/>
          </w:tcPr>
          <w:p>
            <w:pPr>
              <w:rPr>
                <w:rFonts w:ascii="宋体" w:cs="宋体"/>
                <w:kern w:val="0"/>
                <w:sz w:val="24"/>
                <w:szCs w:val="24"/>
              </w:rPr>
            </w:pPr>
            <w:r>
              <w:rPr>
                <w:rFonts w:hint="eastAsia" w:ascii="宋体" w:hAnsi="宋体" w:cs="宋体"/>
                <w:kern w:val="0"/>
                <w:sz w:val="24"/>
                <w:szCs w:val="24"/>
              </w:rPr>
              <w:t>贵阳农村商业银行股份有限公司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产品托管人</w:t>
            </w:r>
          </w:p>
        </w:tc>
        <w:tc>
          <w:tcPr>
            <w:tcW w:w="3419" w:type="pct"/>
            <w:vAlign w:val="center"/>
          </w:tcPr>
          <w:p>
            <w:pPr>
              <w:rPr>
                <w:rFonts w:ascii="宋体" w:cs="宋体"/>
                <w:kern w:val="0"/>
                <w:sz w:val="24"/>
                <w:szCs w:val="24"/>
              </w:rPr>
            </w:pPr>
            <w:r>
              <w:rPr>
                <w:rFonts w:hint="eastAsia" w:ascii="宋体" w:hAnsi="宋体" w:cs="宋体"/>
                <w:kern w:val="0"/>
                <w:sz w:val="24"/>
                <w:szCs w:val="24"/>
              </w:rPr>
              <w:t>南京银行股份有限公司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581"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投资账户信息</w:t>
            </w:r>
          </w:p>
        </w:tc>
        <w:tc>
          <w:tcPr>
            <w:tcW w:w="3419" w:type="pct"/>
            <w:vAlign w:val="center"/>
          </w:tcPr>
          <w:p>
            <w:pPr>
              <w:rPr>
                <w:rFonts w:ascii="宋体" w:cs="宋体"/>
                <w:kern w:val="0"/>
                <w:sz w:val="24"/>
                <w:szCs w:val="24"/>
              </w:rPr>
            </w:pPr>
            <w:r>
              <w:rPr>
                <w:rFonts w:hint="eastAsia" w:ascii="宋体" w:hAnsi="宋体" w:cs="宋体"/>
                <w:kern w:val="0"/>
                <w:sz w:val="24"/>
                <w:szCs w:val="24"/>
              </w:rPr>
              <w:t>户名：</w:t>
            </w:r>
            <w:r>
              <w:rPr>
                <w:rFonts w:ascii="宋体" w:hAnsi="宋体" w:cs="宋体"/>
                <w:kern w:val="0"/>
                <w:sz w:val="24"/>
                <w:szCs w:val="24"/>
              </w:rPr>
              <w:t>贵阳农村商业银行股份有限公司超值宝私享第1</w:t>
            </w:r>
            <w:r>
              <w:rPr>
                <w:rFonts w:hint="eastAsia" w:ascii="宋体" w:hAnsi="宋体" w:cs="宋体"/>
                <w:kern w:val="0"/>
                <w:sz w:val="24"/>
                <w:szCs w:val="24"/>
              </w:rPr>
              <w:t>2</w:t>
            </w:r>
            <w:r>
              <w:rPr>
                <w:rFonts w:ascii="宋体" w:hAnsi="宋体" w:cs="宋体"/>
                <w:kern w:val="0"/>
                <w:sz w:val="24"/>
                <w:szCs w:val="24"/>
              </w:rPr>
              <w:t>期</w:t>
            </w:r>
          </w:p>
          <w:p>
            <w:pPr>
              <w:rPr>
                <w:rFonts w:ascii="宋体" w:cs="宋体"/>
                <w:color w:val="FF0000"/>
                <w:kern w:val="0"/>
                <w:sz w:val="24"/>
                <w:szCs w:val="24"/>
              </w:rPr>
            </w:pPr>
            <w:r>
              <w:rPr>
                <w:rFonts w:hint="eastAsia" w:ascii="宋体" w:hAnsi="宋体" w:cs="宋体"/>
                <w:kern w:val="0"/>
                <w:sz w:val="24"/>
                <w:szCs w:val="24"/>
              </w:rPr>
              <w:t>账号：</w:t>
            </w:r>
            <w:r>
              <w:t xml:space="preserve"> </w:t>
            </w:r>
            <w:r>
              <w:rPr>
                <w:rFonts w:ascii="宋体" w:hAnsi="宋体" w:cs="宋体"/>
                <w:kern w:val="0"/>
                <w:sz w:val="24"/>
                <w:szCs w:val="24"/>
              </w:rPr>
              <w:t>0120030000000379000015</w:t>
            </w:r>
          </w:p>
          <w:p>
            <w:pPr>
              <w:rPr>
                <w:rFonts w:ascii="仿宋" w:hAnsi="仿宋" w:eastAsia="仿宋"/>
                <w:szCs w:val="21"/>
                <w:shd w:val="clear" w:color="auto" w:fill="FFFFFF"/>
              </w:rPr>
            </w:pPr>
            <w:r>
              <w:rPr>
                <w:rFonts w:hint="eastAsia" w:ascii="宋体" w:hAnsi="宋体" w:cs="宋体"/>
                <w:kern w:val="0"/>
                <w:sz w:val="24"/>
                <w:szCs w:val="24"/>
              </w:rPr>
              <w:t>开户行：南京银行南京分行营业部</w:t>
            </w:r>
          </w:p>
        </w:tc>
      </w:tr>
    </w:tbl>
    <w:p>
      <w:pPr>
        <w:widowControl/>
        <w:jc w:val="left"/>
        <w:rPr>
          <w:rFonts w:hint="eastAsia" w:ascii="宋体" w:hAnsi="宋体" w:cs="宋体"/>
          <w:kern w:val="0"/>
          <w:sz w:val="24"/>
          <w:szCs w:val="24"/>
        </w:rPr>
      </w:pPr>
    </w:p>
    <w:p>
      <w:pPr>
        <w:widowControl/>
        <w:jc w:val="left"/>
        <w:rPr>
          <w:rFonts w:hint="eastAsia" w:ascii="宋体" w:hAnsi="宋体" w:cs="宋体"/>
          <w:kern w:val="0"/>
          <w:sz w:val="24"/>
          <w:szCs w:val="24"/>
        </w:rPr>
      </w:pPr>
    </w:p>
    <w:p>
      <w:pPr>
        <w:pStyle w:val="11"/>
        <w:rPr>
          <w:rFonts w:hint="eastAsia"/>
        </w:rPr>
      </w:pPr>
      <w:r>
        <w:rPr>
          <w:rFonts w:hint="eastAsia" w:hAnsi="Calibri"/>
          <w:b/>
          <w:color w:val="000000"/>
        </w:rPr>
        <w:t>§3  主要财务指标和产品净值表现</w:t>
      </w:r>
    </w:p>
    <w:p>
      <w:pPr>
        <w:widowControl/>
        <w:jc w:val="left"/>
        <w:rPr>
          <w:rFonts w:hint="eastAsia" w:ascii="宋体" w:hAnsi="宋体" w:cs="宋体"/>
          <w:kern w:val="0"/>
          <w:sz w:val="24"/>
          <w:szCs w:val="24"/>
        </w:rPr>
      </w:pPr>
    </w:p>
    <w:p>
      <w:pPr>
        <w:pStyle w:val="12"/>
        <w:rPr>
          <w:rFonts w:hint="eastAsia"/>
        </w:rPr>
      </w:pPr>
      <w:r>
        <w:rPr>
          <w:rFonts w:hint="eastAsia"/>
          <w:b/>
          <w:bCs/>
        </w:rPr>
        <w:t>3.1 主要财务指标</w:t>
      </w:r>
    </w:p>
    <w:p>
      <w:pPr>
        <w:widowControl/>
        <w:autoSpaceDE w:val="0"/>
        <w:autoSpaceDN w:val="0"/>
        <w:adjustRightInd w:val="0"/>
        <w:spacing w:line="288" w:lineRule="auto"/>
        <w:jc w:val="right"/>
        <w:rPr>
          <w:rFonts w:hint="eastAsia" w:ascii="宋体" w:hAnsi="宋体" w:cs="宋体"/>
          <w:kern w:val="0"/>
          <w:sz w:val="24"/>
          <w:szCs w:val="24"/>
        </w:rPr>
      </w:pPr>
      <w:r>
        <w:rPr>
          <w:rFonts w:hint="eastAsia" w:ascii="宋体" w:cs="宋体"/>
          <w:color w:val="000000"/>
          <w:kern w:val="0"/>
          <w:sz w:val="24"/>
          <w:szCs w:val="24"/>
        </w:rPr>
        <w:t>单位：人民币元</w:t>
      </w:r>
    </w:p>
    <w:tbl>
      <w:tblPr>
        <w:tblStyle w:val="4"/>
        <w:tblW w:w="9045" w:type="dxa"/>
        <w:tblInd w:w="108" w:type="dxa"/>
        <w:tblLayout w:type="autofit"/>
        <w:tblCellMar>
          <w:top w:w="0" w:type="dxa"/>
          <w:left w:w="108" w:type="dxa"/>
          <w:bottom w:w="0" w:type="dxa"/>
          <w:right w:w="108" w:type="dxa"/>
        </w:tblCellMar>
      </w:tblPr>
      <w:tblGrid>
        <w:gridCol w:w="3351"/>
        <w:gridCol w:w="5694"/>
      </w:tblGrid>
      <w:tr>
        <w:tc>
          <w:tcPr>
            <w:tcW w:w="3351"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b/>
                <w:bCs/>
              </w:rPr>
              <w:t>主要财务指标</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报告期（2020年10月01日 - 2020年12月31日）</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rPr>
              <w:t>1.本期已实现收益</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rPr>
              <w:t>205,232.86</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rPr>
              <w:t>2.本期利润</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rPr>
              <w:t>711,152.04</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rPr>
              <w:t>3.期末产品资产净值</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rPr>
              <w:t>54,256,102.03</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8" w:space="0"/>
              <w:right w:val="single" w:color="000000" w:sz="8" w:space="0"/>
            </w:tcBorders>
            <w:vAlign w:val="center"/>
          </w:tcPr>
          <w:p>
            <w:pPr>
              <w:pStyle w:val="15"/>
              <w:wordWrap w:val="0"/>
            </w:pPr>
            <w:r>
              <w:rPr>
                <w:rFonts w:hint="eastAsia"/>
              </w:rPr>
              <w:t>4.期末产品份额净值</w:t>
            </w:r>
          </w:p>
        </w:tc>
        <w:tc>
          <w:tcPr>
            <w:tcW w:w="0" w:type="auto"/>
            <w:tcBorders>
              <w:top w:val="single" w:color="000000" w:sz="8" w:space="0"/>
              <w:left w:val="single" w:color="000000" w:sz="8" w:space="0"/>
              <w:bottom w:val="single" w:color="000000" w:sz="8" w:space="0"/>
              <w:right w:val="single" w:color="000000" w:sz="8" w:space="0"/>
            </w:tcBorders>
            <w:vAlign w:val="center"/>
          </w:tcPr>
          <w:p>
            <w:pPr>
              <w:pStyle w:val="17"/>
              <w:wordWrap w:val="0"/>
            </w:pPr>
            <w:r>
              <w:rPr>
                <w:rFonts w:hint="eastAsia"/>
              </w:rPr>
              <w:t>1.0414</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5"/>
              <w:wordWrap w:val="0"/>
              <w:rPr>
                <w:rFonts w:hint="eastAsia"/>
              </w:rPr>
            </w:pPr>
            <w:r>
              <w:rPr>
                <w:rFonts w:hint="eastAsia"/>
              </w:rPr>
              <w:t>5.期末产品份额累计净值</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rPr>
                <w:rFonts w:hint="eastAsia"/>
              </w:rPr>
            </w:pPr>
            <w:r>
              <w:rPr>
                <w:rFonts w:hint="eastAsia"/>
              </w:rPr>
              <w:t>1.0414</w:t>
            </w:r>
          </w:p>
        </w:tc>
      </w:tr>
    </w:tbl>
    <w:p>
      <w:pPr>
        <w:widowControl/>
        <w:spacing w:line="360" w:lineRule="auto"/>
        <w:jc w:val="left"/>
        <w:rPr>
          <w:rFonts w:ascii="楷体" w:hAnsi="楷体" w:eastAsia="楷体" w:cs="宋体"/>
          <w:kern w:val="0"/>
          <w:sz w:val="22"/>
          <w:szCs w:val="24"/>
        </w:rPr>
      </w:pPr>
      <w:r>
        <w:rPr>
          <w:rFonts w:hint="eastAsia" w:ascii="楷体" w:hAnsi="楷体" w:eastAsia="楷体" w:cs="宋体"/>
          <w:kern w:val="0"/>
          <w:sz w:val="22"/>
          <w:szCs w:val="24"/>
        </w:rPr>
        <w:t>注：</w:t>
      </w:r>
      <w:r>
        <w:rPr>
          <w:rFonts w:ascii="楷体" w:hAnsi="楷体" w:eastAsia="楷体" w:cs="宋体"/>
          <w:kern w:val="0"/>
          <w:sz w:val="22"/>
          <w:szCs w:val="24"/>
        </w:rPr>
        <w:t>1</w:t>
      </w:r>
      <w:r>
        <w:rPr>
          <w:rFonts w:hint="eastAsia" w:ascii="楷体" w:hAnsi="楷体" w:eastAsia="楷体" w:cs="宋体"/>
          <w:kern w:val="0"/>
          <w:sz w:val="22"/>
          <w:szCs w:val="24"/>
        </w:rPr>
        <w:t>、本期已实现收益指该产品本期利息收入、投资收益、其他收入（不含公允价值变动收益）扣除相关费用后的余额，本期利润为本期已实现收益加上本期公允价值变动收益；</w:t>
      </w:r>
    </w:p>
    <w:p>
      <w:pPr>
        <w:widowControl/>
        <w:spacing w:line="360" w:lineRule="auto"/>
        <w:jc w:val="left"/>
        <w:rPr>
          <w:rFonts w:ascii="楷体" w:hAnsi="楷体" w:eastAsia="楷体" w:cs="宋体"/>
          <w:kern w:val="0"/>
          <w:sz w:val="22"/>
          <w:szCs w:val="24"/>
        </w:rPr>
      </w:pPr>
      <w:r>
        <w:rPr>
          <w:rFonts w:ascii="楷体" w:hAnsi="楷体" w:eastAsia="楷体" w:cs="宋体"/>
          <w:kern w:val="0"/>
          <w:sz w:val="22"/>
          <w:szCs w:val="24"/>
        </w:rPr>
        <w:t xml:space="preserve">    2</w:t>
      </w:r>
      <w:r>
        <w:rPr>
          <w:rFonts w:hint="eastAsia" w:ascii="楷体" w:hAnsi="楷体" w:eastAsia="楷体" w:cs="宋体"/>
          <w:kern w:val="0"/>
          <w:sz w:val="22"/>
          <w:szCs w:val="24"/>
        </w:rPr>
        <w:t>、除产品合同和招募说明书另有规定外，期末产品份额净值按四舍五入法保留至小数点后第</w:t>
      </w:r>
      <w:r>
        <w:rPr>
          <w:rFonts w:ascii="楷体" w:hAnsi="楷体" w:eastAsia="楷体" w:cs="宋体"/>
          <w:kern w:val="0"/>
          <w:sz w:val="22"/>
          <w:szCs w:val="24"/>
        </w:rPr>
        <w:t>4</w:t>
      </w:r>
      <w:r>
        <w:rPr>
          <w:rFonts w:hint="eastAsia" w:ascii="楷体" w:hAnsi="楷体" w:eastAsia="楷体" w:cs="宋体"/>
          <w:kern w:val="0"/>
          <w:sz w:val="22"/>
          <w:szCs w:val="24"/>
        </w:rPr>
        <w:t>位，其他财务指标保留至小数点后第</w:t>
      </w:r>
      <w:r>
        <w:rPr>
          <w:rFonts w:ascii="楷体" w:hAnsi="楷体" w:eastAsia="楷体" w:cs="宋体"/>
          <w:kern w:val="0"/>
          <w:sz w:val="22"/>
          <w:szCs w:val="24"/>
        </w:rPr>
        <w:t>2</w:t>
      </w:r>
      <w:r>
        <w:rPr>
          <w:rFonts w:hint="eastAsia" w:ascii="楷体" w:hAnsi="楷体" w:eastAsia="楷体" w:cs="宋体"/>
          <w:kern w:val="0"/>
          <w:sz w:val="22"/>
          <w:szCs w:val="24"/>
        </w:rPr>
        <w:t>位；</w:t>
      </w:r>
    </w:p>
    <w:p>
      <w:pPr>
        <w:widowControl/>
        <w:spacing w:line="360" w:lineRule="auto"/>
        <w:ind w:firstLine="440" w:firstLineChars="200"/>
        <w:jc w:val="left"/>
        <w:rPr>
          <w:rFonts w:ascii="楷体" w:hAnsi="楷体" w:eastAsia="楷体" w:cs="宋体"/>
          <w:kern w:val="0"/>
          <w:sz w:val="22"/>
          <w:szCs w:val="24"/>
        </w:rPr>
      </w:pPr>
      <w:r>
        <w:rPr>
          <w:rFonts w:ascii="楷体" w:hAnsi="楷体" w:eastAsia="楷体" w:cs="宋体"/>
          <w:kern w:val="0"/>
          <w:sz w:val="22"/>
          <w:szCs w:val="24"/>
        </w:rPr>
        <w:t>3</w:t>
      </w:r>
      <w:r>
        <w:rPr>
          <w:rFonts w:hint="eastAsia" w:ascii="楷体" w:hAnsi="楷体" w:eastAsia="楷体" w:cs="宋体"/>
          <w:kern w:val="0"/>
          <w:sz w:val="22"/>
          <w:szCs w:val="24"/>
        </w:rPr>
        <w:t>、期末即最后一个市场交易日；</w:t>
      </w:r>
    </w:p>
    <w:p>
      <w:pPr>
        <w:widowControl/>
        <w:spacing w:line="360" w:lineRule="auto"/>
        <w:ind w:firstLine="440" w:firstLineChars="200"/>
        <w:jc w:val="left"/>
        <w:rPr>
          <w:rFonts w:ascii="宋体" w:cs="宋体"/>
          <w:kern w:val="0"/>
          <w:sz w:val="22"/>
          <w:szCs w:val="24"/>
        </w:rPr>
      </w:pPr>
      <w:r>
        <w:rPr>
          <w:rFonts w:ascii="楷体" w:hAnsi="楷体" w:eastAsia="楷体" w:cs="宋体"/>
          <w:kern w:val="0"/>
          <w:sz w:val="22"/>
          <w:szCs w:val="24"/>
        </w:rPr>
        <w:t>4</w:t>
      </w:r>
      <w:r>
        <w:rPr>
          <w:rFonts w:hint="eastAsia" w:ascii="楷体" w:hAnsi="楷体" w:eastAsia="楷体" w:cs="宋体"/>
          <w:kern w:val="0"/>
          <w:sz w:val="22"/>
          <w:szCs w:val="24"/>
        </w:rPr>
        <w:t>、本报告期内，本理财计划未进行分红</w:t>
      </w:r>
      <w:r>
        <w:rPr>
          <w:rFonts w:hint="eastAsia" w:ascii="宋体" w:hAnsi="宋体" w:cs="宋体"/>
          <w:kern w:val="0"/>
          <w:sz w:val="22"/>
          <w:szCs w:val="24"/>
        </w:rPr>
        <w:t>。</w:t>
      </w:r>
    </w:p>
    <w:p>
      <w:pPr>
        <w:widowControl/>
        <w:jc w:val="left"/>
        <w:rPr>
          <w:rFonts w:hint="eastAsia" w:ascii="宋体" w:hAnsi="宋体" w:cs="宋体"/>
          <w:kern w:val="0"/>
          <w:sz w:val="24"/>
          <w:szCs w:val="24"/>
        </w:rPr>
      </w:pPr>
    </w:p>
    <w:p>
      <w:pPr>
        <w:pStyle w:val="12"/>
        <w:rPr>
          <w:rFonts w:hint="eastAsia"/>
        </w:rPr>
      </w:pPr>
      <w:r>
        <w:rPr>
          <w:rFonts w:hint="eastAsia"/>
          <w:b/>
          <w:bCs/>
        </w:rPr>
        <w:t>3.2 产品净值表现</w:t>
      </w:r>
    </w:p>
    <w:p>
      <w:pPr>
        <w:pStyle w:val="13"/>
        <w:rPr>
          <w:rFonts w:hint="eastAsia"/>
        </w:rPr>
      </w:pPr>
      <w:r>
        <w:rPr>
          <w:rFonts w:hint="eastAsia"/>
          <w:b/>
          <w:bCs/>
        </w:rPr>
        <w:t>3.2.1 本报告期产品份额净值增长率及其与同期业绩比较基准收益率的比较</w:t>
      </w:r>
    </w:p>
    <w:tbl>
      <w:tblPr>
        <w:tblStyle w:val="4"/>
        <w:tblW w:w="0" w:type="auto"/>
        <w:tblInd w:w="108" w:type="dxa"/>
        <w:tblLayout w:type="autofit"/>
        <w:tblCellMar>
          <w:top w:w="0" w:type="dxa"/>
          <w:left w:w="108" w:type="dxa"/>
          <w:bottom w:w="0" w:type="dxa"/>
          <w:right w:w="108" w:type="dxa"/>
        </w:tblCellMar>
      </w:tblPr>
      <w:tblGrid>
        <w:gridCol w:w="2574"/>
        <w:gridCol w:w="1104"/>
        <w:gridCol w:w="1104"/>
        <w:gridCol w:w="1104"/>
        <w:gridCol w:w="1104"/>
        <w:gridCol w:w="1104"/>
        <w:gridCol w:w="1104"/>
      </w:tblGrid>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阶段</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净值增长率①</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净值增长率标准差②</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业绩比较基准收益率③</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业绩比较基准收益率标准差④</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①-③</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②-④</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hAnsi="Calibri"/>
                <w:color w:val="000000"/>
              </w:rPr>
              <w:t>过去三个月</w:t>
            </w:r>
          </w:p>
        </w:tc>
        <w:tc>
          <w:tcPr>
            <w:tcW w:w="600" w:type="pct"/>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1.33%</w:t>
            </w:r>
          </w:p>
        </w:tc>
        <w:tc>
          <w:tcPr>
            <w:tcW w:w="600" w:type="pct"/>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0.03%</w:t>
            </w:r>
          </w:p>
        </w:tc>
        <w:tc>
          <w:tcPr>
            <w:tcW w:w="600" w:type="pct"/>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1.64%</w:t>
            </w:r>
          </w:p>
        </w:tc>
        <w:tc>
          <w:tcPr>
            <w:tcW w:w="600" w:type="pct"/>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0.02%</w:t>
            </w:r>
          </w:p>
        </w:tc>
        <w:tc>
          <w:tcPr>
            <w:tcW w:w="600" w:type="pct"/>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-0.31%</w:t>
            </w:r>
          </w:p>
        </w:tc>
        <w:tc>
          <w:tcPr>
            <w:tcW w:w="600" w:type="pct"/>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0.01%</w:t>
            </w:r>
          </w:p>
        </w:tc>
      </w:tr>
    </w:tbl>
    <w:p>
      <w:pPr>
        <w:widowControl/>
        <w:jc w:val="left"/>
        <w:rPr>
          <w:rFonts w:hint="eastAsia" w:ascii="宋体" w:hAnsi="宋体" w:cs="宋体"/>
          <w:kern w:val="0"/>
          <w:sz w:val="24"/>
          <w:szCs w:val="24"/>
        </w:rPr>
      </w:pPr>
    </w:p>
    <w:p>
      <w:pPr>
        <w:pStyle w:val="13"/>
        <w:rPr>
          <w:rFonts w:hint="eastAsia"/>
        </w:rPr>
      </w:pPr>
      <w:r>
        <w:rPr>
          <w:rFonts w:hint="eastAsia"/>
          <w:b/>
          <w:bCs/>
        </w:rPr>
        <w:t>3.2.2 自产品合同生效以来产品累计净值增长率变动及其与同期业绩比较基准收益率变动的比较</w:t>
      </w:r>
    </w:p>
    <w:p>
      <w:pPr>
        <w:pStyle w:val="15"/>
        <w:rPr>
          <w:rFonts w:hint="eastAsia"/>
        </w:rPr>
      </w:pPr>
      <w:r>
        <w:rPr>
          <w:rFonts w:hAnsi="Calibri"/>
          <w:color w:val="000000"/>
        </w:rPr>
        <w:drawing>
          <wp:inline distT="0" distB="0" distL="0" distR="0">
            <wp:extent cx="5600700" cy="3638550"/>
            <wp:effectExtent l="19050" t="0" r="0" b="0"/>
            <wp:docPr id="1" name="图片 1" descr="D:\估值客户端\MOD\TMP\CN_13_GRCB0076_FB030040_2021000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估值客户端\MOD\TMP\CN_13_GRCB0076_FB030040_20210001_1.jpg"/>
                    <pic:cNvPicPr>
                      <a:picLocks noChangeAspect="1" noChangeArrowheads="1"/>
                    </pic:cNvPicPr>
                  </pic:nvPicPr>
                  <pic:blipFill>
                    <a:blip r:embed="rId7"/>
                    <a:srcRect/>
                    <a:stretch>
                      <a:fillRect/>
                    </a:stretch>
                  </pic:blipFill>
                  <pic:spPr>
                    <a:xfrm>
                      <a:off x="0" y="0"/>
                      <a:ext cx="5600700" cy="3638550"/>
                    </a:xfrm>
                    <a:prstGeom prst="rect">
                      <a:avLst/>
                    </a:prstGeom>
                    <a:noFill/>
                    <a:ln w="9525">
                      <a:noFill/>
                      <a:miter lim="800000"/>
                      <a:headEnd/>
                      <a:tailEnd/>
                    </a:ln>
                  </pic:spPr>
                </pic:pic>
              </a:graphicData>
            </a:graphic>
          </wp:inline>
        </w:drawing>
      </w:r>
    </w:p>
    <w:p>
      <w:pPr>
        <w:widowControl/>
        <w:jc w:val="left"/>
        <w:rPr>
          <w:rFonts w:hint="eastAsia" w:ascii="宋体" w:hAnsi="宋体" w:cs="宋体"/>
          <w:kern w:val="0"/>
          <w:sz w:val="24"/>
          <w:szCs w:val="24"/>
        </w:rPr>
      </w:pPr>
    </w:p>
    <w:p>
      <w:pPr>
        <w:pStyle w:val="11"/>
        <w:rPr>
          <w:rFonts w:hint="eastAsia"/>
        </w:rPr>
      </w:pPr>
      <w:r>
        <w:rPr>
          <w:rFonts w:hint="eastAsia" w:hAnsi="Calibri"/>
          <w:b/>
          <w:color w:val="000000"/>
        </w:rPr>
        <w:t>§4  管理人报告</w:t>
      </w:r>
    </w:p>
    <w:p>
      <w:pPr>
        <w:pStyle w:val="12"/>
        <w:rPr>
          <w:b/>
          <w:bCs/>
        </w:rPr>
      </w:pPr>
      <w:r>
        <w:rPr>
          <w:b/>
          <w:bCs/>
        </w:rPr>
        <w:t xml:space="preserve">4.1 </w:t>
      </w:r>
      <w:r>
        <w:rPr>
          <w:rFonts w:hint="eastAsia"/>
          <w:b/>
          <w:bCs/>
        </w:rPr>
        <w:t>报告期内产品投资策略和运作分析</w:t>
      </w:r>
    </w:p>
    <w:p>
      <w:pPr>
        <w:pStyle w:val="15"/>
        <w:ind w:firstLine="480"/>
        <w:rPr>
          <w:rFonts w:hint="eastAsia"/>
        </w:rPr>
      </w:pPr>
      <w:r>
        <w:rPr>
          <w:rFonts w:hint="eastAsia"/>
        </w:rPr>
        <w:t>本产品主要投资于信用级别高、流动性好的债券，以净值稳定为主，封闭期结束时获取资产票面收益及债券交易收益。报告期内，产品净值增长稳定。</w:t>
      </w:r>
    </w:p>
    <w:p>
      <w:pPr>
        <w:widowControl/>
        <w:jc w:val="left"/>
        <w:rPr>
          <w:rFonts w:hint="eastAsia" w:ascii="宋体" w:hAnsi="宋体" w:cs="宋体"/>
          <w:kern w:val="0"/>
          <w:sz w:val="24"/>
          <w:szCs w:val="24"/>
        </w:rPr>
      </w:pPr>
    </w:p>
    <w:p>
      <w:pPr>
        <w:pStyle w:val="12"/>
        <w:rPr>
          <w:rFonts w:hint="eastAsia"/>
        </w:rPr>
      </w:pPr>
      <w:r>
        <w:rPr>
          <w:rFonts w:hint="eastAsia"/>
          <w:b/>
          <w:bCs/>
        </w:rPr>
        <w:t>4.2 报告期内产品的业绩表现</w:t>
      </w:r>
    </w:p>
    <w:p>
      <w:pPr>
        <w:pStyle w:val="15"/>
        <w:ind w:firstLine="480"/>
        <w:rPr>
          <w:rFonts w:hint="eastAsia"/>
        </w:rPr>
      </w:pPr>
      <w:r>
        <w:rPr>
          <w:rFonts w:hint="eastAsia"/>
        </w:rPr>
        <w:t>截至报告期末产品份额净值为1.0414元，本报告期内，产品份额净值增长率为1.33%，同期业绩比较基准收益率为1.64%。</w:t>
      </w:r>
    </w:p>
    <w:p>
      <w:pPr>
        <w:widowControl/>
        <w:jc w:val="left"/>
        <w:rPr>
          <w:rFonts w:hint="eastAsia" w:ascii="宋体" w:hAnsi="宋体" w:cs="宋体"/>
          <w:kern w:val="0"/>
          <w:sz w:val="24"/>
          <w:szCs w:val="24"/>
        </w:rPr>
      </w:pPr>
    </w:p>
    <w:p>
      <w:pPr>
        <w:pStyle w:val="12"/>
        <w:rPr>
          <w:b/>
          <w:bCs/>
        </w:rPr>
      </w:pPr>
      <w:r>
        <w:rPr>
          <w:b/>
          <w:bCs/>
        </w:rPr>
        <w:t>4.3</w:t>
      </w:r>
      <w:r>
        <w:rPr>
          <w:rFonts w:hint="eastAsia"/>
          <w:b/>
          <w:bCs/>
        </w:rPr>
        <w:t>报告期内产品主要投资风险</w:t>
      </w:r>
    </w:p>
    <w:p>
      <w:pPr>
        <w:pStyle w:val="15"/>
        <w:ind w:leftChars="7" w:firstLine="480" w:firstLineChars="200"/>
      </w:pPr>
      <w:r>
        <w:rPr>
          <w:rFonts w:hint="eastAsia"/>
        </w:rPr>
        <w:t>在报告期内，产品主要面临宏观经济下行风险、市场波动风险、对外贸易摩擦有所缓解但中长期仍存在较大不确定性的风险等。</w:t>
      </w:r>
    </w:p>
    <w:p>
      <w:pPr>
        <w:widowControl/>
        <w:jc w:val="left"/>
        <w:rPr>
          <w:rFonts w:hint="eastAsia" w:ascii="宋体" w:hAnsi="宋体" w:cs="宋体"/>
          <w:kern w:val="0"/>
          <w:sz w:val="24"/>
          <w:szCs w:val="24"/>
        </w:rPr>
      </w:pPr>
    </w:p>
    <w:p>
      <w:pPr>
        <w:pStyle w:val="11"/>
        <w:rPr>
          <w:rFonts w:hint="eastAsia"/>
        </w:rPr>
      </w:pPr>
      <w:r>
        <w:rPr>
          <w:rFonts w:hint="eastAsia" w:hAnsi="Calibri"/>
          <w:b/>
          <w:color w:val="000000"/>
        </w:rPr>
        <w:t>§5  投资组合报告</w:t>
      </w:r>
    </w:p>
    <w:p>
      <w:pPr>
        <w:widowControl/>
        <w:autoSpaceDE w:val="0"/>
        <w:autoSpaceDN w:val="0"/>
        <w:adjustRightInd w:val="0"/>
        <w:spacing w:before="24" w:line="288" w:lineRule="auto"/>
        <w:ind w:left="15"/>
        <w:jc w:val="left"/>
        <w:outlineLvl w:val="1"/>
        <w:rPr>
          <w:rFonts w:ascii="宋体" w:cs="宋体"/>
          <w:b/>
          <w:bCs/>
          <w:kern w:val="0"/>
          <w:sz w:val="24"/>
          <w:szCs w:val="24"/>
        </w:rPr>
      </w:pPr>
      <w:r>
        <w:rPr>
          <w:rFonts w:ascii="宋体" w:hAnsi="宋体" w:cs="宋体"/>
          <w:b/>
          <w:bCs/>
          <w:kern w:val="0"/>
          <w:sz w:val="24"/>
          <w:szCs w:val="24"/>
        </w:rPr>
        <w:t>5.1</w:t>
      </w:r>
      <w:r>
        <w:rPr>
          <w:rFonts w:hint="eastAsia" w:ascii="宋体" w:hAnsi="宋体" w:cs="宋体"/>
          <w:b/>
          <w:bCs/>
          <w:kern w:val="0"/>
          <w:sz w:val="24"/>
          <w:szCs w:val="24"/>
        </w:rPr>
        <w:t>期末直接前十项持仓资产情况</w:t>
      </w:r>
    </w:p>
    <w:tbl>
      <w:tblPr>
        <w:tblStyle w:val="4"/>
        <w:tblW w:w="9192" w:type="dxa"/>
        <w:tblInd w:w="1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 w:type="dxa"/>
          <w:bottom w:w="0" w:type="dxa"/>
          <w:right w:w="10" w:type="dxa"/>
        </w:tblCellMar>
      </w:tblPr>
      <w:tblGrid>
        <w:gridCol w:w="592"/>
        <w:gridCol w:w="4349"/>
        <w:gridCol w:w="2138"/>
        <w:gridCol w:w="211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805" w:hRule="atLeast"/>
        </w:trPr>
        <w:tc>
          <w:tcPr>
            <w:tcW w:w="592" w:type="dxa"/>
            <w:vAlign w:val="center"/>
          </w:tcPr>
          <w:p>
            <w:pPr>
              <w:jc w:val="center"/>
              <w:rPr>
                <w:rFonts w:ascii="宋体"/>
                <w:szCs w:val="21"/>
              </w:rPr>
            </w:pPr>
            <w:r>
              <w:rPr>
                <w:rFonts w:hint="eastAsia" w:ascii="宋体" w:hAnsi="宋体"/>
                <w:szCs w:val="21"/>
              </w:rPr>
              <w:t>序号</w:t>
            </w:r>
          </w:p>
        </w:tc>
        <w:tc>
          <w:tcPr>
            <w:tcW w:w="4349" w:type="dxa"/>
            <w:vAlign w:val="center"/>
          </w:tcPr>
          <w:p>
            <w:pPr>
              <w:jc w:val="center"/>
              <w:rPr>
                <w:rFonts w:ascii="宋体"/>
                <w:szCs w:val="21"/>
              </w:rPr>
            </w:pPr>
            <w:r>
              <w:rPr>
                <w:rFonts w:hint="eastAsia" w:ascii="宋体" w:hAnsi="宋体"/>
                <w:szCs w:val="21"/>
              </w:rPr>
              <w:t>项目</w:t>
            </w:r>
          </w:p>
        </w:tc>
        <w:tc>
          <w:tcPr>
            <w:tcW w:w="2138" w:type="dxa"/>
            <w:vAlign w:val="center"/>
          </w:tcPr>
          <w:p>
            <w:pPr>
              <w:jc w:val="center"/>
              <w:rPr>
                <w:rFonts w:ascii="宋体" w:hAnsi="宋体"/>
                <w:szCs w:val="21"/>
              </w:rPr>
            </w:pPr>
            <w:r>
              <w:rPr>
                <w:rFonts w:hint="eastAsia" w:ascii="宋体" w:hAnsi="宋体"/>
                <w:szCs w:val="21"/>
              </w:rPr>
              <w:t>金额</w:t>
            </w:r>
            <w:r>
              <w:rPr>
                <w:rFonts w:ascii="宋体" w:hAnsi="宋体"/>
                <w:szCs w:val="21"/>
              </w:rPr>
              <w:t>(</w:t>
            </w:r>
            <w:r>
              <w:rPr>
                <w:rFonts w:hint="eastAsia" w:ascii="宋体" w:hAnsi="宋体"/>
                <w:szCs w:val="21"/>
              </w:rPr>
              <w:t>元</w:t>
            </w:r>
            <w:r>
              <w:rPr>
                <w:rFonts w:ascii="宋体" w:hAnsi="宋体"/>
                <w:szCs w:val="21"/>
              </w:rPr>
              <w:t>)</w:t>
            </w:r>
          </w:p>
        </w:tc>
        <w:tc>
          <w:tcPr>
            <w:tcW w:w="2113" w:type="dxa"/>
            <w:vAlign w:val="center"/>
          </w:tcPr>
          <w:p>
            <w:pPr>
              <w:jc w:val="center"/>
              <w:rPr>
                <w:rFonts w:ascii="宋体" w:hAnsi="宋体"/>
                <w:szCs w:val="21"/>
              </w:rPr>
            </w:pPr>
            <w:r>
              <w:rPr>
                <w:rFonts w:hint="eastAsia" w:ascii="宋体" w:hAnsi="宋体"/>
                <w:szCs w:val="21"/>
              </w:rPr>
              <w:t>占理财计划总资产的比例</w:t>
            </w:r>
            <w:r>
              <w:rPr>
                <w:rFonts w:ascii="宋体" w:hAnsi="宋体"/>
                <w:szCs w:val="21"/>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jc w:val="center"/>
              <w:rPr>
                <w:rFonts w:ascii="宋体" w:hAnsi="宋体"/>
                <w:szCs w:val="21"/>
              </w:rPr>
            </w:pPr>
            <w:r>
              <w:rPr>
                <w:rFonts w:ascii="宋体" w:hAnsi="宋体"/>
                <w:szCs w:val="21"/>
              </w:rPr>
              <w:t>1</w:t>
            </w:r>
          </w:p>
        </w:tc>
        <w:tc>
          <w:tcPr>
            <w:tcW w:w="4349" w:type="dxa"/>
            <w:vAlign w:val="center"/>
          </w:tcPr>
          <w:p>
            <w:pPr>
              <w:jc w:val="left"/>
              <w:rPr>
                <w:rFonts w:ascii="宋体"/>
                <w:szCs w:val="21"/>
              </w:rPr>
            </w:pPr>
            <w:r>
              <w:rPr>
                <w:rFonts w:hint="eastAsia" w:ascii="宋体" w:hAnsi="宋体"/>
                <w:szCs w:val="21"/>
              </w:rPr>
              <w:t>鑫沅资产鑫梅花</w:t>
            </w:r>
            <w:r>
              <w:rPr>
                <w:rFonts w:ascii="宋体" w:hAnsi="宋体"/>
                <w:szCs w:val="21"/>
              </w:rPr>
              <w:t>4</w:t>
            </w:r>
            <w:r>
              <w:rPr>
                <w:rFonts w:hint="eastAsia" w:ascii="宋体" w:hAnsi="宋体"/>
                <w:szCs w:val="21"/>
              </w:rPr>
              <w:t>69号</w:t>
            </w:r>
          </w:p>
        </w:tc>
        <w:tc>
          <w:tcPr>
            <w:tcW w:w="2138" w:type="dxa"/>
            <w:vAlign w:val="center"/>
          </w:tcPr>
          <w:p>
            <w:pPr>
              <w:jc w:val="right"/>
              <w:rPr>
                <w:rFonts w:ascii="宋体" w:hAnsi="宋体"/>
                <w:szCs w:val="21"/>
              </w:rPr>
            </w:pPr>
            <w:r>
              <w:rPr>
                <w:rFonts w:ascii="宋体" w:hAnsi="宋体"/>
                <w:szCs w:val="21"/>
              </w:rPr>
              <w:t>38,413,335.20</w:t>
            </w:r>
          </w:p>
        </w:tc>
        <w:tc>
          <w:tcPr>
            <w:tcW w:w="2113" w:type="dxa"/>
            <w:vAlign w:val="center"/>
          </w:tcPr>
          <w:p>
            <w:pPr>
              <w:jc w:val="right"/>
              <w:rPr>
                <w:rFonts w:ascii="宋体"/>
                <w:szCs w:val="21"/>
              </w:rPr>
            </w:pPr>
            <w:r>
              <w:rPr>
                <w:rFonts w:hint="eastAsia" w:ascii="宋体" w:hAnsi="宋体"/>
                <w:szCs w:val="21"/>
              </w:rPr>
              <w:t>72.08</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jc w:val="center"/>
              <w:rPr>
                <w:rFonts w:ascii="宋体"/>
                <w:szCs w:val="21"/>
              </w:rPr>
            </w:pPr>
            <w:r>
              <w:rPr>
                <w:rFonts w:ascii="宋体" w:hAnsi="宋体"/>
                <w:szCs w:val="21"/>
              </w:rPr>
              <w:t>2</w:t>
            </w:r>
          </w:p>
        </w:tc>
        <w:tc>
          <w:tcPr>
            <w:tcW w:w="4349" w:type="dxa"/>
            <w:vAlign w:val="center"/>
          </w:tcPr>
          <w:p>
            <w:pPr>
              <w:jc w:val="left"/>
              <w:rPr>
                <w:rFonts w:ascii="宋体"/>
                <w:szCs w:val="21"/>
              </w:rPr>
            </w:pPr>
            <w:r>
              <w:rPr>
                <w:rFonts w:hint="eastAsia" w:ascii="宋体" w:hAnsi="宋体"/>
                <w:szCs w:val="21"/>
              </w:rPr>
              <w:t>19仁怀03</w:t>
            </w:r>
          </w:p>
        </w:tc>
        <w:tc>
          <w:tcPr>
            <w:tcW w:w="2138" w:type="dxa"/>
            <w:vAlign w:val="center"/>
          </w:tcPr>
          <w:p>
            <w:pPr>
              <w:jc w:val="right"/>
              <w:rPr>
                <w:rFonts w:ascii="宋体" w:hAnsi="宋体"/>
                <w:szCs w:val="21"/>
              </w:rPr>
            </w:pPr>
            <w:r>
              <w:rPr>
                <w:rFonts w:ascii="宋体" w:hAnsi="宋体"/>
                <w:szCs w:val="21"/>
              </w:rPr>
              <w:t>14</w:t>
            </w:r>
            <w:r>
              <w:rPr>
                <w:rFonts w:hint="eastAsia" w:ascii="宋体" w:hAnsi="宋体"/>
                <w:szCs w:val="21"/>
              </w:rPr>
              <w:t>,</w:t>
            </w:r>
            <w:r>
              <w:rPr>
                <w:rFonts w:ascii="宋体" w:hAnsi="宋体"/>
                <w:szCs w:val="21"/>
              </w:rPr>
              <w:t>882</w:t>
            </w:r>
            <w:r>
              <w:rPr>
                <w:rFonts w:hint="eastAsia" w:ascii="宋体" w:hAnsi="宋体"/>
                <w:szCs w:val="21"/>
              </w:rPr>
              <w:t>,</w:t>
            </w:r>
            <w:r>
              <w:rPr>
                <w:rFonts w:ascii="宋体" w:hAnsi="宋体"/>
                <w:szCs w:val="21"/>
              </w:rPr>
              <w:t>486.3</w:t>
            </w:r>
            <w:r>
              <w:rPr>
                <w:rFonts w:hint="eastAsia" w:ascii="宋体" w:hAnsi="宋体"/>
                <w:szCs w:val="21"/>
              </w:rPr>
              <w:t>0</w:t>
            </w:r>
          </w:p>
        </w:tc>
        <w:tc>
          <w:tcPr>
            <w:tcW w:w="2113" w:type="dxa"/>
            <w:vAlign w:val="center"/>
          </w:tcPr>
          <w:p>
            <w:pPr>
              <w:jc w:val="right"/>
              <w:rPr>
                <w:rFonts w:ascii="宋体"/>
                <w:szCs w:val="21"/>
              </w:rPr>
            </w:pPr>
            <w:r>
              <w:rPr>
                <w:rFonts w:hint="eastAsia" w:ascii="宋体" w:hAnsi="宋体"/>
                <w:szCs w:val="21"/>
              </w:rPr>
              <w:t>27.92</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jc w:val="center"/>
              <w:rPr>
                <w:rFonts w:ascii="宋体"/>
                <w:szCs w:val="21"/>
              </w:rPr>
            </w:pPr>
            <w:r>
              <w:rPr>
                <w:rFonts w:ascii="宋体" w:hAnsi="宋体"/>
                <w:szCs w:val="21"/>
              </w:rPr>
              <w:t>3</w:t>
            </w:r>
          </w:p>
        </w:tc>
        <w:tc>
          <w:tcPr>
            <w:tcW w:w="4349" w:type="dxa"/>
            <w:vAlign w:val="center"/>
          </w:tcPr>
          <w:p>
            <w:pPr>
              <w:jc w:val="left"/>
              <w:rPr>
                <w:rFonts w:ascii="宋体"/>
                <w:szCs w:val="21"/>
              </w:rPr>
            </w:pPr>
            <w:r>
              <w:rPr>
                <w:rFonts w:hint="eastAsia" w:ascii="宋体" w:hAnsi="宋体"/>
                <w:szCs w:val="21"/>
              </w:rPr>
              <w:t>合计</w:t>
            </w:r>
          </w:p>
        </w:tc>
        <w:tc>
          <w:tcPr>
            <w:tcW w:w="2138" w:type="dxa"/>
            <w:vAlign w:val="center"/>
          </w:tcPr>
          <w:p>
            <w:pPr>
              <w:jc w:val="right"/>
              <w:rPr>
                <w:rFonts w:ascii="宋体" w:hAnsi="宋体"/>
                <w:szCs w:val="21"/>
              </w:rPr>
            </w:pPr>
            <w:r>
              <w:rPr>
                <w:rFonts w:ascii="宋体" w:hAnsi="宋体"/>
                <w:szCs w:val="21"/>
              </w:rPr>
              <w:t>53</w:t>
            </w:r>
            <w:r>
              <w:rPr>
                <w:rFonts w:hint="eastAsia" w:ascii="宋体" w:hAnsi="宋体"/>
                <w:szCs w:val="21"/>
              </w:rPr>
              <w:t>,</w:t>
            </w:r>
            <w:r>
              <w:rPr>
                <w:rFonts w:ascii="宋体" w:hAnsi="宋体"/>
                <w:szCs w:val="21"/>
              </w:rPr>
              <w:t>295</w:t>
            </w:r>
            <w:r>
              <w:rPr>
                <w:rFonts w:hint="eastAsia" w:ascii="宋体" w:hAnsi="宋体"/>
                <w:szCs w:val="21"/>
              </w:rPr>
              <w:t>,</w:t>
            </w:r>
            <w:r>
              <w:rPr>
                <w:rFonts w:ascii="宋体" w:hAnsi="宋体"/>
                <w:szCs w:val="21"/>
              </w:rPr>
              <w:t>821.5</w:t>
            </w:r>
            <w:r>
              <w:rPr>
                <w:rFonts w:hint="eastAsia" w:ascii="宋体" w:hAnsi="宋体"/>
                <w:szCs w:val="21"/>
              </w:rPr>
              <w:t>0</w:t>
            </w:r>
          </w:p>
        </w:tc>
        <w:tc>
          <w:tcPr>
            <w:tcW w:w="2113" w:type="dxa"/>
            <w:vAlign w:val="center"/>
          </w:tcPr>
          <w:p>
            <w:pPr>
              <w:jc w:val="right"/>
              <w:rPr>
                <w:rFonts w:ascii="宋体" w:hAnsi="宋体"/>
                <w:szCs w:val="21"/>
              </w:rPr>
            </w:pPr>
            <w:r>
              <w:rPr>
                <w:rFonts w:ascii="宋体" w:hAnsi="宋体"/>
                <w:szCs w:val="21"/>
              </w:rPr>
              <w:t>100.00</w:t>
            </w:r>
          </w:p>
        </w:tc>
      </w:tr>
    </w:tbl>
    <w:p>
      <w:pPr>
        <w:widowControl/>
        <w:jc w:val="left"/>
        <w:rPr>
          <w:rFonts w:hint="eastAsia" w:ascii="仿宋" w:hAnsi="仿宋" w:eastAsia="仿宋"/>
          <w:szCs w:val="20"/>
        </w:rPr>
      </w:pPr>
      <w:r>
        <w:rPr>
          <w:rFonts w:ascii="仿宋" w:hAnsi="仿宋" w:eastAsia="仿宋"/>
          <w:szCs w:val="20"/>
        </w:rPr>
        <w:tab/>
      </w:r>
      <w:r>
        <w:rPr>
          <w:rFonts w:hint="eastAsia" w:ascii="仿宋" w:hAnsi="仿宋" w:eastAsia="仿宋"/>
          <w:szCs w:val="20"/>
        </w:rPr>
        <w:t>注：由于四舍五入原因，各分项占资产总值的比例之和与合计可能存在尾差。</w:t>
      </w:r>
    </w:p>
    <w:p>
      <w:pPr>
        <w:widowControl/>
        <w:jc w:val="left"/>
        <w:rPr>
          <w:rFonts w:hint="eastAsia" w:ascii="宋体" w:hAnsi="宋体" w:cs="宋体"/>
          <w:kern w:val="0"/>
          <w:sz w:val="24"/>
          <w:szCs w:val="24"/>
        </w:rPr>
      </w:pPr>
    </w:p>
    <w:p>
      <w:pPr>
        <w:widowControl/>
        <w:jc w:val="left"/>
        <w:rPr>
          <w:rFonts w:ascii="宋体" w:cs="宋体"/>
          <w:b/>
          <w:kern w:val="0"/>
          <w:sz w:val="24"/>
          <w:szCs w:val="24"/>
        </w:rPr>
      </w:pPr>
      <w:r>
        <w:rPr>
          <w:rFonts w:ascii="宋体" w:hAnsi="宋体" w:cs="宋体"/>
          <w:b/>
          <w:kern w:val="0"/>
          <w:sz w:val="24"/>
          <w:szCs w:val="24"/>
        </w:rPr>
        <w:t>5.2</w:t>
      </w:r>
      <w:r>
        <w:rPr>
          <w:rFonts w:hint="eastAsia" w:ascii="宋体" w:hAnsi="宋体" w:cs="宋体"/>
          <w:b/>
          <w:kern w:val="0"/>
          <w:sz w:val="24"/>
          <w:szCs w:val="24"/>
        </w:rPr>
        <w:t>期末理财产品资产组合情况</w:t>
      </w:r>
    </w:p>
    <w:p>
      <w:pPr>
        <w:widowControl/>
        <w:jc w:val="left"/>
        <w:rPr>
          <w:rFonts w:ascii="宋体" w:cs="宋体"/>
          <w:b/>
          <w:kern w:val="0"/>
          <w:sz w:val="24"/>
          <w:szCs w:val="24"/>
        </w:rPr>
      </w:pPr>
    </w:p>
    <w:p>
      <w:pPr>
        <w:widowControl/>
        <w:jc w:val="left"/>
        <w:rPr>
          <w:rFonts w:ascii="宋体" w:cs="宋体"/>
          <w:kern w:val="0"/>
          <w:sz w:val="24"/>
          <w:szCs w:val="24"/>
        </w:rPr>
      </w:pPr>
      <w:r>
        <w:rPr>
          <w:rFonts w:ascii="宋体" w:hAnsi="宋体" w:cs="宋体"/>
          <w:kern w:val="0"/>
          <w:sz w:val="24"/>
          <w:szCs w:val="24"/>
        </w:rPr>
        <w:t>5.2.1</w:t>
      </w:r>
      <w:r>
        <w:rPr>
          <w:rFonts w:hint="eastAsia" w:ascii="宋体" w:hAnsi="宋体" w:cs="宋体"/>
          <w:kern w:val="0"/>
          <w:sz w:val="24"/>
          <w:szCs w:val="24"/>
        </w:rPr>
        <w:t>期末理财产品直接投资资产组合情况</w:t>
      </w:r>
    </w:p>
    <w:p>
      <w:pPr>
        <w:widowControl/>
        <w:jc w:val="left"/>
        <w:rPr>
          <w:rFonts w:ascii="宋体" w:cs="宋体"/>
          <w:kern w:val="0"/>
          <w:sz w:val="24"/>
          <w:szCs w:val="24"/>
        </w:rPr>
      </w:pPr>
    </w:p>
    <w:tbl>
      <w:tblPr>
        <w:tblStyle w:val="4"/>
        <w:tblW w:w="9192" w:type="dxa"/>
        <w:tblInd w:w="1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 w:type="dxa"/>
          <w:bottom w:w="0" w:type="dxa"/>
          <w:right w:w="10" w:type="dxa"/>
        </w:tblCellMar>
      </w:tblPr>
      <w:tblGrid>
        <w:gridCol w:w="592"/>
        <w:gridCol w:w="4349"/>
        <w:gridCol w:w="2138"/>
        <w:gridCol w:w="211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988" w:hRule="atLeast"/>
        </w:trPr>
        <w:tc>
          <w:tcPr>
            <w:tcW w:w="592" w:type="dxa"/>
            <w:vAlign w:val="center"/>
          </w:tcPr>
          <w:p>
            <w:pPr>
              <w:widowControl/>
              <w:jc w:val="left"/>
              <w:rPr>
                <w:rFonts w:ascii="宋体" w:cs="宋体"/>
                <w:kern w:val="0"/>
                <w:sz w:val="24"/>
                <w:szCs w:val="24"/>
              </w:rPr>
            </w:pPr>
            <w:r>
              <w:rPr>
                <w:rFonts w:hint="eastAsia" w:ascii="宋体" w:hAnsi="宋体" w:cs="宋体"/>
                <w:kern w:val="0"/>
                <w:sz w:val="24"/>
                <w:szCs w:val="24"/>
              </w:rPr>
              <w:t>序号</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项目</w:t>
            </w:r>
          </w:p>
        </w:tc>
        <w:tc>
          <w:tcPr>
            <w:tcW w:w="2138" w:type="dxa"/>
            <w:vAlign w:val="center"/>
          </w:tcPr>
          <w:p>
            <w:pPr>
              <w:widowControl/>
              <w:jc w:val="left"/>
              <w:rPr>
                <w:rFonts w:ascii="宋体" w:hAnsi="宋体" w:cs="宋体"/>
                <w:kern w:val="0"/>
                <w:sz w:val="24"/>
                <w:szCs w:val="24"/>
              </w:rPr>
            </w:pPr>
            <w:r>
              <w:rPr>
                <w:rFonts w:hint="eastAsia" w:ascii="宋体" w:hAnsi="宋体" w:cs="宋体"/>
                <w:kern w:val="0"/>
                <w:sz w:val="24"/>
                <w:szCs w:val="24"/>
              </w:rPr>
              <w:t>金额</w:t>
            </w:r>
            <w:r>
              <w:rPr>
                <w:rFonts w:ascii="宋体" w:hAnsi="宋体" w:cs="宋体"/>
                <w:kern w:val="0"/>
                <w:sz w:val="24"/>
                <w:szCs w:val="24"/>
              </w:rPr>
              <w:t>(</w:t>
            </w:r>
            <w:r>
              <w:rPr>
                <w:rFonts w:hint="eastAsia" w:ascii="宋体" w:hAnsi="宋体" w:cs="宋体"/>
                <w:kern w:val="0"/>
                <w:sz w:val="24"/>
                <w:szCs w:val="24"/>
              </w:rPr>
              <w:t>元</w:t>
            </w:r>
            <w:r>
              <w:rPr>
                <w:rFonts w:ascii="宋体" w:hAnsi="宋体" w:cs="宋体"/>
                <w:kern w:val="0"/>
                <w:sz w:val="24"/>
                <w:szCs w:val="24"/>
              </w:rPr>
              <w:t>)</w:t>
            </w:r>
          </w:p>
        </w:tc>
        <w:tc>
          <w:tcPr>
            <w:tcW w:w="2113" w:type="dxa"/>
            <w:vAlign w:val="center"/>
          </w:tcPr>
          <w:p>
            <w:pPr>
              <w:widowControl/>
              <w:jc w:val="left"/>
              <w:rPr>
                <w:rFonts w:ascii="宋体" w:hAnsi="宋体" w:cs="宋体"/>
                <w:kern w:val="0"/>
                <w:sz w:val="24"/>
                <w:szCs w:val="24"/>
              </w:rPr>
            </w:pPr>
            <w:r>
              <w:rPr>
                <w:rFonts w:hint="eastAsia" w:ascii="宋体" w:hAnsi="宋体" w:cs="宋体"/>
                <w:kern w:val="0"/>
                <w:sz w:val="24"/>
                <w:szCs w:val="24"/>
              </w:rPr>
              <w:t>占理财计划总资产的比例</w:t>
            </w:r>
            <w:r>
              <w:rPr>
                <w:rFonts w:ascii="宋体" w:hAns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421" w:hRule="atLeast"/>
        </w:trPr>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1</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固定收益投资</w:t>
            </w:r>
          </w:p>
        </w:tc>
        <w:tc>
          <w:tcPr>
            <w:tcW w:w="2138" w:type="dxa"/>
            <w:vAlign w:val="center"/>
          </w:tcPr>
          <w:p>
            <w:pPr>
              <w:widowControl/>
              <w:jc w:val="left"/>
              <w:rPr>
                <w:rFonts w:ascii="宋体" w:cs="宋体"/>
                <w:kern w:val="0"/>
                <w:sz w:val="24"/>
                <w:szCs w:val="24"/>
              </w:rPr>
            </w:pPr>
            <w:r>
              <w:rPr>
                <w:rFonts w:ascii="宋体" w:cs="宋体"/>
                <w:kern w:val="0"/>
                <w:sz w:val="24"/>
                <w:szCs w:val="24"/>
              </w:rPr>
              <w:t>14</w:t>
            </w:r>
            <w:r>
              <w:rPr>
                <w:rFonts w:hint="eastAsia" w:ascii="宋体" w:cs="宋体"/>
                <w:kern w:val="0"/>
                <w:sz w:val="24"/>
                <w:szCs w:val="24"/>
              </w:rPr>
              <w:t>,</w:t>
            </w:r>
            <w:r>
              <w:rPr>
                <w:rFonts w:ascii="宋体" w:cs="宋体"/>
                <w:kern w:val="0"/>
                <w:sz w:val="24"/>
                <w:szCs w:val="24"/>
              </w:rPr>
              <w:t>882</w:t>
            </w:r>
            <w:r>
              <w:rPr>
                <w:rFonts w:hint="eastAsia" w:ascii="宋体" w:cs="宋体"/>
                <w:kern w:val="0"/>
                <w:sz w:val="24"/>
                <w:szCs w:val="24"/>
              </w:rPr>
              <w:t>,</w:t>
            </w:r>
            <w:r>
              <w:rPr>
                <w:rFonts w:ascii="宋体" w:cs="宋体"/>
                <w:kern w:val="0"/>
                <w:sz w:val="24"/>
                <w:szCs w:val="24"/>
              </w:rPr>
              <w:t>486.3</w:t>
            </w:r>
            <w:r>
              <w:rPr>
                <w:rFonts w:hint="eastAsia" w:ascii="宋体" w:cs="宋体"/>
                <w:kern w:val="0"/>
                <w:sz w:val="24"/>
                <w:szCs w:val="24"/>
              </w:rPr>
              <w:t>0</w:t>
            </w:r>
          </w:p>
        </w:tc>
        <w:tc>
          <w:tcPr>
            <w:tcW w:w="2113" w:type="dxa"/>
            <w:vAlign w:val="center"/>
          </w:tcPr>
          <w:p>
            <w:pPr>
              <w:widowControl/>
              <w:jc w:val="right"/>
              <w:rPr>
                <w:rFonts w:ascii="宋体" w:cs="宋体"/>
                <w:kern w:val="0"/>
                <w:sz w:val="24"/>
                <w:szCs w:val="24"/>
              </w:rPr>
            </w:pPr>
            <w:r>
              <w:rPr>
                <w:rFonts w:hint="eastAsia" w:ascii="宋体" w:cs="宋体"/>
                <w:kern w:val="0"/>
                <w:sz w:val="24"/>
                <w:szCs w:val="24"/>
              </w:rPr>
              <w:t>27.34</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272" w:hRule="atLeast"/>
        </w:trPr>
        <w:tc>
          <w:tcPr>
            <w:tcW w:w="592" w:type="dxa"/>
            <w:vAlign w:val="center"/>
          </w:tcPr>
          <w:p>
            <w:pPr>
              <w:widowControl/>
              <w:jc w:val="left"/>
              <w:rPr>
                <w:rFonts w:ascii="宋体" w:cs="宋体"/>
                <w:kern w:val="0"/>
                <w:sz w:val="24"/>
                <w:szCs w:val="24"/>
              </w:rPr>
            </w:pP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其中：债券</w:t>
            </w:r>
          </w:p>
        </w:tc>
        <w:tc>
          <w:tcPr>
            <w:tcW w:w="2138" w:type="dxa"/>
            <w:vAlign w:val="center"/>
          </w:tcPr>
          <w:p>
            <w:pPr>
              <w:widowControl/>
              <w:jc w:val="left"/>
              <w:rPr>
                <w:rFonts w:ascii="宋体" w:cs="宋体"/>
                <w:kern w:val="0"/>
                <w:sz w:val="24"/>
                <w:szCs w:val="24"/>
              </w:rPr>
            </w:pPr>
            <w:r>
              <w:rPr>
                <w:rFonts w:ascii="宋体" w:cs="宋体"/>
                <w:kern w:val="0"/>
                <w:sz w:val="24"/>
                <w:szCs w:val="24"/>
              </w:rPr>
              <w:t>14</w:t>
            </w:r>
            <w:r>
              <w:rPr>
                <w:rFonts w:hint="eastAsia" w:ascii="宋体" w:cs="宋体"/>
                <w:kern w:val="0"/>
                <w:sz w:val="24"/>
                <w:szCs w:val="24"/>
              </w:rPr>
              <w:t>,</w:t>
            </w:r>
            <w:r>
              <w:rPr>
                <w:rFonts w:ascii="宋体" w:cs="宋体"/>
                <w:kern w:val="0"/>
                <w:sz w:val="24"/>
                <w:szCs w:val="24"/>
              </w:rPr>
              <w:t>882</w:t>
            </w:r>
            <w:r>
              <w:rPr>
                <w:rFonts w:hint="eastAsia" w:ascii="宋体" w:cs="宋体"/>
                <w:kern w:val="0"/>
                <w:sz w:val="24"/>
                <w:szCs w:val="24"/>
              </w:rPr>
              <w:t>,</w:t>
            </w:r>
            <w:r>
              <w:rPr>
                <w:rFonts w:ascii="宋体" w:cs="宋体"/>
                <w:kern w:val="0"/>
                <w:sz w:val="24"/>
                <w:szCs w:val="24"/>
              </w:rPr>
              <w:t>486.3</w:t>
            </w:r>
            <w:r>
              <w:rPr>
                <w:rFonts w:hint="eastAsia" w:ascii="宋体" w:cs="宋体"/>
                <w:kern w:val="0"/>
                <w:sz w:val="24"/>
                <w:szCs w:val="24"/>
              </w:rPr>
              <w:t>0</w:t>
            </w:r>
          </w:p>
        </w:tc>
        <w:tc>
          <w:tcPr>
            <w:tcW w:w="2113" w:type="dxa"/>
            <w:vAlign w:val="center"/>
          </w:tcPr>
          <w:p>
            <w:pPr>
              <w:widowControl/>
              <w:jc w:val="right"/>
              <w:rPr>
                <w:rFonts w:ascii="宋体" w:cs="宋体"/>
                <w:kern w:val="0"/>
                <w:sz w:val="24"/>
                <w:szCs w:val="24"/>
              </w:rPr>
            </w:pPr>
            <w:r>
              <w:rPr>
                <w:rFonts w:hint="eastAsia" w:ascii="宋体" w:cs="宋体"/>
                <w:kern w:val="0"/>
                <w:sz w:val="24"/>
                <w:szCs w:val="24"/>
              </w:rPr>
              <w:t>27.34</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cs="宋体"/>
                <w:kern w:val="0"/>
                <w:sz w:val="24"/>
                <w:szCs w:val="24"/>
              </w:rPr>
            </w:pP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　　　资产支持证券</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2</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权益投资</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cs="宋体"/>
                <w:kern w:val="0"/>
                <w:sz w:val="24"/>
                <w:szCs w:val="24"/>
              </w:rPr>
            </w:pP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其中：股票</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3</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基金投资</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4</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资管产品投资</w:t>
            </w:r>
          </w:p>
        </w:tc>
        <w:tc>
          <w:tcPr>
            <w:tcW w:w="2138" w:type="dxa"/>
            <w:vAlign w:val="center"/>
          </w:tcPr>
          <w:p>
            <w:pPr>
              <w:widowControl/>
              <w:jc w:val="left"/>
              <w:rPr>
                <w:rFonts w:ascii="宋体" w:hAnsi="宋体" w:cs="宋体"/>
                <w:kern w:val="0"/>
                <w:sz w:val="24"/>
                <w:szCs w:val="24"/>
              </w:rPr>
            </w:pPr>
            <w:r>
              <w:rPr>
                <w:rFonts w:ascii="宋体" w:hAnsi="宋体" w:cs="宋体"/>
                <w:kern w:val="0"/>
                <w:sz w:val="24"/>
                <w:szCs w:val="24"/>
              </w:rPr>
              <w:t>38,413,335.20</w:t>
            </w:r>
          </w:p>
        </w:tc>
        <w:tc>
          <w:tcPr>
            <w:tcW w:w="2113" w:type="dxa"/>
            <w:vAlign w:val="center"/>
          </w:tcPr>
          <w:p>
            <w:pPr>
              <w:widowControl/>
              <w:jc w:val="right"/>
              <w:rPr>
                <w:rFonts w:ascii="宋体" w:cs="宋体"/>
                <w:kern w:val="0"/>
                <w:sz w:val="24"/>
                <w:szCs w:val="24"/>
              </w:rPr>
            </w:pPr>
            <w:r>
              <w:rPr>
                <w:rFonts w:hint="eastAsia" w:ascii="宋体" w:hAnsi="宋体" w:cs="宋体"/>
                <w:kern w:val="0"/>
                <w:sz w:val="24"/>
                <w:szCs w:val="24"/>
              </w:rPr>
              <w:t>70.57</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5</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金融衍生品投资</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6</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买入返售金融资产</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cs="宋体"/>
                <w:kern w:val="0"/>
                <w:sz w:val="24"/>
                <w:szCs w:val="24"/>
              </w:rPr>
            </w:pP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其中：买断式回购的买入返售金融资产</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7</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银行存款和结算备付金合计</w:t>
            </w:r>
          </w:p>
        </w:tc>
        <w:tc>
          <w:tcPr>
            <w:tcW w:w="2138" w:type="dxa"/>
            <w:vAlign w:val="center"/>
          </w:tcPr>
          <w:p>
            <w:pPr>
              <w:widowControl/>
              <w:jc w:val="left"/>
              <w:rPr>
                <w:rFonts w:ascii="宋体" w:cs="宋体"/>
                <w:kern w:val="0"/>
                <w:sz w:val="24"/>
                <w:szCs w:val="24"/>
              </w:rPr>
            </w:pPr>
            <w:r>
              <w:rPr>
                <w:rFonts w:ascii="宋体" w:cs="宋体"/>
                <w:kern w:val="0"/>
                <w:sz w:val="24"/>
                <w:szCs w:val="24"/>
              </w:rPr>
              <w:t>1</w:t>
            </w:r>
            <w:r>
              <w:rPr>
                <w:rFonts w:hint="eastAsia" w:ascii="宋体" w:cs="宋体"/>
                <w:kern w:val="0"/>
                <w:sz w:val="24"/>
                <w:szCs w:val="24"/>
              </w:rPr>
              <w:t>,</w:t>
            </w:r>
            <w:r>
              <w:rPr>
                <w:rFonts w:ascii="宋体" w:cs="宋体"/>
                <w:kern w:val="0"/>
                <w:sz w:val="24"/>
                <w:szCs w:val="24"/>
              </w:rPr>
              <w:t>135</w:t>
            </w:r>
            <w:r>
              <w:rPr>
                <w:rFonts w:hint="eastAsia" w:ascii="宋体" w:cs="宋体"/>
                <w:kern w:val="0"/>
                <w:sz w:val="24"/>
                <w:szCs w:val="24"/>
              </w:rPr>
              <w:t>,</w:t>
            </w:r>
            <w:r>
              <w:rPr>
                <w:rFonts w:ascii="宋体" w:cs="宋体"/>
                <w:kern w:val="0"/>
                <w:sz w:val="24"/>
                <w:szCs w:val="24"/>
              </w:rPr>
              <w:t>441.73</w:t>
            </w:r>
          </w:p>
        </w:tc>
        <w:tc>
          <w:tcPr>
            <w:tcW w:w="2113" w:type="dxa"/>
            <w:vAlign w:val="center"/>
          </w:tcPr>
          <w:p>
            <w:pPr>
              <w:widowControl/>
              <w:jc w:val="right"/>
              <w:rPr>
                <w:rFonts w:ascii="宋体" w:cs="宋体"/>
                <w:kern w:val="0"/>
                <w:sz w:val="24"/>
                <w:szCs w:val="24"/>
              </w:rPr>
            </w:pPr>
            <w:r>
              <w:rPr>
                <w:rFonts w:hint="eastAsia" w:ascii="宋体" w:cs="宋体"/>
                <w:kern w:val="0"/>
                <w:sz w:val="24"/>
                <w:szCs w:val="24"/>
              </w:rPr>
              <w:t>2.09</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8</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其他资产</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9</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合计</w:t>
            </w:r>
          </w:p>
        </w:tc>
        <w:tc>
          <w:tcPr>
            <w:tcW w:w="2138" w:type="dxa"/>
            <w:vAlign w:val="center"/>
          </w:tcPr>
          <w:p>
            <w:pPr>
              <w:widowControl/>
              <w:jc w:val="left"/>
              <w:rPr>
                <w:rFonts w:ascii="宋体" w:hAnsi="宋体" w:cs="宋体"/>
                <w:kern w:val="0"/>
                <w:sz w:val="24"/>
                <w:szCs w:val="24"/>
              </w:rPr>
            </w:pPr>
            <w:r>
              <w:rPr>
                <w:rFonts w:ascii="宋体" w:hAnsi="宋体" w:cs="宋体"/>
                <w:kern w:val="0"/>
                <w:sz w:val="24"/>
                <w:szCs w:val="24"/>
              </w:rPr>
              <w:t>54,431,263.23</w:t>
            </w:r>
          </w:p>
        </w:tc>
        <w:tc>
          <w:tcPr>
            <w:tcW w:w="2113" w:type="dxa"/>
            <w:vAlign w:val="center"/>
          </w:tcPr>
          <w:p>
            <w:pPr>
              <w:widowControl/>
              <w:jc w:val="right"/>
              <w:rPr>
                <w:rFonts w:ascii="宋体" w:hAnsi="宋体" w:cs="宋体"/>
                <w:kern w:val="0"/>
                <w:sz w:val="24"/>
                <w:szCs w:val="24"/>
              </w:rPr>
            </w:pPr>
            <w:r>
              <w:rPr>
                <w:rFonts w:ascii="宋体" w:hAnsi="宋体" w:cs="宋体"/>
                <w:kern w:val="0"/>
                <w:sz w:val="24"/>
                <w:szCs w:val="24"/>
              </w:rPr>
              <w:t>100.00</w:t>
            </w:r>
          </w:p>
        </w:tc>
      </w:tr>
    </w:tbl>
    <w:p>
      <w:pPr>
        <w:spacing w:beforeLines="50" w:afterLines="50" w:line="360" w:lineRule="auto"/>
        <w:rPr>
          <w:rFonts w:ascii="宋体" w:cs="宋体"/>
          <w:kern w:val="0"/>
          <w:sz w:val="24"/>
          <w:szCs w:val="24"/>
        </w:rPr>
      </w:pPr>
      <w:r>
        <w:rPr>
          <w:rFonts w:ascii="宋体" w:cs="宋体"/>
          <w:kern w:val="0"/>
          <w:sz w:val="24"/>
          <w:szCs w:val="24"/>
        </w:rPr>
        <w:tab/>
      </w:r>
      <w:r>
        <w:rPr>
          <w:rFonts w:hint="eastAsia" w:ascii="仿宋" w:hAnsi="仿宋" w:eastAsia="仿宋"/>
          <w:szCs w:val="20"/>
        </w:rPr>
        <w:t>注：由于四舍五入原因，各分项占资产总值的比例之和与合计可能存在尾差。</w:t>
      </w:r>
    </w:p>
    <w:p>
      <w:pPr>
        <w:pStyle w:val="12"/>
        <w:rPr>
          <w:rFonts w:hint="eastAsia"/>
        </w:rPr>
      </w:pPr>
      <w:r>
        <w:rPr>
          <w:rFonts w:hint="eastAsia"/>
          <w:bCs/>
        </w:rPr>
        <w:t>5.2.2 报告期末按债券品种分类的债券投资组合</w:t>
      </w:r>
    </w:p>
    <w:tbl>
      <w:tblPr>
        <w:tblStyle w:val="4"/>
        <w:tblW w:w="0" w:type="auto"/>
        <w:tblInd w:w="108" w:type="dxa"/>
        <w:tblLayout w:type="autofit"/>
        <w:tblCellMar>
          <w:top w:w="0" w:type="dxa"/>
          <w:left w:w="108" w:type="dxa"/>
          <w:bottom w:w="0" w:type="dxa"/>
          <w:right w:w="108" w:type="dxa"/>
        </w:tblCellMar>
      </w:tblPr>
      <w:tblGrid>
        <w:gridCol w:w="1284"/>
        <w:gridCol w:w="3082"/>
        <w:gridCol w:w="2408"/>
        <w:gridCol w:w="2424"/>
      </w:tblGrid>
      <w:tr>
        <w:tblPrEx>
          <w:tblCellMar>
            <w:top w:w="0" w:type="dxa"/>
            <w:left w:w="108" w:type="dxa"/>
            <w:bottom w:w="0" w:type="dxa"/>
            <w:right w:w="108" w:type="dxa"/>
          </w:tblCellMar>
        </w:tblPrEx>
        <w:tc>
          <w:tcPr>
            <w:tcW w:w="1342"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序号</w:t>
            </w:r>
          </w:p>
        </w:tc>
        <w:tc>
          <w:tcPr>
            <w:tcW w:w="3251"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债券品种</w:t>
            </w:r>
          </w:p>
        </w:tc>
        <w:tc>
          <w:tcPr>
            <w:tcW w:w="2529"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公允价值(元)</w:t>
            </w:r>
          </w:p>
        </w:tc>
        <w:tc>
          <w:tcPr>
            <w:tcW w:w="2528"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占产品资产净值比例（％）</w:t>
            </w:r>
          </w:p>
        </w:tc>
      </w:tr>
      <w:tr>
        <w:tblPrEx>
          <w:tblCellMar>
            <w:top w:w="0" w:type="dxa"/>
            <w:left w:w="108" w:type="dxa"/>
            <w:bottom w:w="0" w:type="dxa"/>
            <w:right w:w="108" w:type="dxa"/>
          </w:tblCellMar>
        </w:tblPrEx>
        <w:tc>
          <w:tcPr>
            <w:tcW w:w="722"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1</w:t>
            </w:r>
          </w:p>
        </w:tc>
        <w:tc>
          <w:tcPr>
            <w:tcW w:w="3251" w:type="dxa"/>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rPr>
              <w:t>国家债券</w:t>
            </w:r>
          </w:p>
        </w:tc>
        <w:tc>
          <w:tcPr>
            <w:tcW w:w="2529"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c>
          <w:tcPr>
            <w:tcW w:w="2528"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r>
      <w:tr>
        <w:tblPrEx>
          <w:tblCellMar>
            <w:top w:w="0" w:type="dxa"/>
            <w:left w:w="108" w:type="dxa"/>
            <w:bottom w:w="0" w:type="dxa"/>
            <w:right w:w="108" w:type="dxa"/>
          </w:tblCellMar>
        </w:tblPrEx>
        <w:tc>
          <w:tcPr>
            <w:tcW w:w="722"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2</w:t>
            </w:r>
          </w:p>
        </w:tc>
        <w:tc>
          <w:tcPr>
            <w:tcW w:w="3251" w:type="dxa"/>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rPr>
              <w:t>央行票据</w:t>
            </w:r>
          </w:p>
        </w:tc>
        <w:tc>
          <w:tcPr>
            <w:tcW w:w="2529"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c>
          <w:tcPr>
            <w:tcW w:w="2528"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r>
      <w:tr>
        <w:tblPrEx>
          <w:tblCellMar>
            <w:top w:w="0" w:type="dxa"/>
            <w:left w:w="108" w:type="dxa"/>
            <w:bottom w:w="0" w:type="dxa"/>
            <w:right w:w="108" w:type="dxa"/>
          </w:tblCellMar>
        </w:tblPrEx>
        <w:tc>
          <w:tcPr>
            <w:tcW w:w="722"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3</w:t>
            </w:r>
          </w:p>
        </w:tc>
        <w:tc>
          <w:tcPr>
            <w:tcW w:w="3251" w:type="dxa"/>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rPr>
              <w:t>金融债券</w:t>
            </w:r>
          </w:p>
        </w:tc>
        <w:tc>
          <w:tcPr>
            <w:tcW w:w="2529"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c>
          <w:tcPr>
            <w:tcW w:w="2528"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r>
      <w:tr>
        <w:tblPrEx>
          <w:tblCellMar>
            <w:top w:w="0" w:type="dxa"/>
            <w:left w:w="108" w:type="dxa"/>
            <w:bottom w:w="0" w:type="dxa"/>
            <w:right w:w="108" w:type="dxa"/>
          </w:tblCellMar>
        </w:tblPrEx>
        <w:tc>
          <w:tcPr>
            <w:tcW w:w="722" w:type="dxa"/>
            <w:tcBorders>
              <w:top w:val="single" w:color="000000" w:sz="8" w:space="0"/>
              <w:left w:val="single" w:color="000000" w:sz="8" w:space="0"/>
              <w:bottom w:val="single" w:color="000000" w:sz="6" w:space="0"/>
              <w:right w:val="single" w:color="000000" w:sz="8" w:space="0"/>
            </w:tcBorders>
            <w:vAlign w:val="center"/>
          </w:tcPr>
          <w:p>
            <w:pPr>
              <w:rPr>
                <w:rFonts w:ascii="宋体" w:hAnsi="宋体" w:cs="宋体"/>
                <w:kern w:val="0"/>
                <w:sz w:val="24"/>
                <w:szCs w:val="24"/>
              </w:rPr>
            </w:pPr>
          </w:p>
        </w:tc>
        <w:tc>
          <w:tcPr>
            <w:tcW w:w="3251" w:type="dxa"/>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rPr>
              <w:t>其中：政策性金融债</w:t>
            </w:r>
          </w:p>
        </w:tc>
        <w:tc>
          <w:tcPr>
            <w:tcW w:w="2529"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c>
          <w:tcPr>
            <w:tcW w:w="2528"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r>
      <w:tr>
        <w:tblPrEx>
          <w:tblCellMar>
            <w:top w:w="0" w:type="dxa"/>
            <w:left w:w="108" w:type="dxa"/>
            <w:bottom w:w="0" w:type="dxa"/>
            <w:right w:w="108" w:type="dxa"/>
          </w:tblCellMar>
        </w:tblPrEx>
        <w:tc>
          <w:tcPr>
            <w:tcW w:w="722"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4</w:t>
            </w:r>
          </w:p>
        </w:tc>
        <w:tc>
          <w:tcPr>
            <w:tcW w:w="3251" w:type="dxa"/>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rPr>
              <w:t>企业债券</w:t>
            </w:r>
          </w:p>
        </w:tc>
        <w:tc>
          <w:tcPr>
            <w:tcW w:w="2529" w:type="dxa"/>
            <w:tcBorders>
              <w:top w:val="single" w:color="000000" w:sz="8" w:space="0"/>
              <w:left w:val="single" w:color="000000" w:sz="8" w:space="0"/>
              <w:bottom w:val="single" w:color="000000" w:sz="6" w:space="0"/>
              <w:right w:val="single" w:color="000000" w:sz="8" w:space="0"/>
            </w:tcBorders>
            <w:vAlign w:val="center"/>
          </w:tcPr>
          <w:p>
            <w:pPr>
              <w:pStyle w:val="17"/>
              <w:wordWrap w:val="0"/>
            </w:pPr>
            <w:r>
              <w:t>14</w:t>
            </w:r>
            <w:r>
              <w:rPr>
                <w:rFonts w:hint="eastAsia"/>
              </w:rPr>
              <w:t>,</w:t>
            </w:r>
            <w:r>
              <w:t>882</w:t>
            </w:r>
            <w:r>
              <w:rPr>
                <w:rFonts w:hint="eastAsia"/>
              </w:rPr>
              <w:t>,</w:t>
            </w:r>
            <w:r>
              <w:t>486.3</w:t>
            </w:r>
            <w:r>
              <w:rPr>
                <w:rFonts w:hint="eastAsia"/>
              </w:rPr>
              <w:t>0</w:t>
            </w:r>
          </w:p>
        </w:tc>
        <w:tc>
          <w:tcPr>
            <w:tcW w:w="2528"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27.43</w:t>
            </w:r>
          </w:p>
        </w:tc>
      </w:tr>
      <w:tr>
        <w:tblPrEx>
          <w:tblCellMar>
            <w:top w:w="0" w:type="dxa"/>
            <w:left w:w="108" w:type="dxa"/>
            <w:bottom w:w="0" w:type="dxa"/>
            <w:right w:w="108" w:type="dxa"/>
          </w:tblCellMar>
        </w:tblPrEx>
        <w:tc>
          <w:tcPr>
            <w:tcW w:w="722"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5</w:t>
            </w:r>
          </w:p>
        </w:tc>
        <w:tc>
          <w:tcPr>
            <w:tcW w:w="3251" w:type="dxa"/>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rPr>
              <w:t>企业短期融资券</w:t>
            </w:r>
          </w:p>
        </w:tc>
        <w:tc>
          <w:tcPr>
            <w:tcW w:w="2529"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c>
          <w:tcPr>
            <w:tcW w:w="2528"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r>
      <w:tr>
        <w:tblPrEx>
          <w:tblCellMar>
            <w:top w:w="0" w:type="dxa"/>
            <w:left w:w="108" w:type="dxa"/>
            <w:bottom w:w="0" w:type="dxa"/>
            <w:right w:w="108" w:type="dxa"/>
          </w:tblCellMar>
        </w:tblPrEx>
        <w:tc>
          <w:tcPr>
            <w:tcW w:w="722"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6</w:t>
            </w:r>
          </w:p>
        </w:tc>
        <w:tc>
          <w:tcPr>
            <w:tcW w:w="3251" w:type="dxa"/>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rPr>
              <w:t>中期票据</w:t>
            </w:r>
          </w:p>
        </w:tc>
        <w:tc>
          <w:tcPr>
            <w:tcW w:w="2529"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c>
          <w:tcPr>
            <w:tcW w:w="2528"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r>
      <w:tr>
        <w:tblPrEx>
          <w:tblCellMar>
            <w:top w:w="0" w:type="dxa"/>
            <w:left w:w="108" w:type="dxa"/>
            <w:bottom w:w="0" w:type="dxa"/>
            <w:right w:w="108" w:type="dxa"/>
          </w:tblCellMar>
        </w:tblPrEx>
        <w:tc>
          <w:tcPr>
            <w:tcW w:w="722"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7</w:t>
            </w:r>
          </w:p>
        </w:tc>
        <w:tc>
          <w:tcPr>
            <w:tcW w:w="3251" w:type="dxa"/>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rPr>
              <w:t>可转债（可交换债）</w:t>
            </w:r>
          </w:p>
        </w:tc>
        <w:tc>
          <w:tcPr>
            <w:tcW w:w="2529"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c>
          <w:tcPr>
            <w:tcW w:w="2528"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r>
      <w:tr>
        <w:tblPrEx>
          <w:tblCellMar>
            <w:top w:w="0" w:type="dxa"/>
            <w:left w:w="108" w:type="dxa"/>
            <w:bottom w:w="0" w:type="dxa"/>
            <w:right w:w="108" w:type="dxa"/>
          </w:tblCellMar>
        </w:tblPrEx>
        <w:tc>
          <w:tcPr>
            <w:tcW w:w="722"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8</w:t>
            </w:r>
          </w:p>
        </w:tc>
        <w:tc>
          <w:tcPr>
            <w:tcW w:w="3251" w:type="dxa"/>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rPr>
              <w:t>同业存单</w:t>
            </w:r>
          </w:p>
        </w:tc>
        <w:tc>
          <w:tcPr>
            <w:tcW w:w="2529"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c>
          <w:tcPr>
            <w:tcW w:w="2528"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r>
      <w:tr>
        <w:tblPrEx>
          <w:tblCellMar>
            <w:top w:w="0" w:type="dxa"/>
            <w:left w:w="108" w:type="dxa"/>
            <w:bottom w:w="0" w:type="dxa"/>
            <w:right w:w="108" w:type="dxa"/>
          </w:tblCellMar>
        </w:tblPrEx>
        <w:tc>
          <w:tcPr>
            <w:tcW w:w="722"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9</w:t>
            </w:r>
          </w:p>
        </w:tc>
        <w:tc>
          <w:tcPr>
            <w:tcW w:w="3251" w:type="dxa"/>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rPr>
              <w:t>其他</w:t>
            </w:r>
          </w:p>
        </w:tc>
        <w:tc>
          <w:tcPr>
            <w:tcW w:w="2529"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c>
          <w:tcPr>
            <w:tcW w:w="2528"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w:t>
            </w:r>
          </w:p>
        </w:tc>
      </w:tr>
      <w:tr>
        <w:tblPrEx>
          <w:tblCellMar>
            <w:top w:w="0" w:type="dxa"/>
            <w:left w:w="108" w:type="dxa"/>
            <w:bottom w:w="0" w:type="dxa"/>
            <w:right w:w="108" w:type="dxa"/>
          </w:tblCellMar>
        </w:tblPrEx>
        <w:tc>
          <w:tcPr>
            <w:tcW w:w="722"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10</w:t>
            </w:r>
          </w:p>
        </w:tc>
        <w:tc>
          <w:tcPr>
            <w:tcW w:w="3251" w:type="dxa"/>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rPr>
              <w:t>合计</w:t>
            </w:r>
          </w:p>
        </w:tc>
        <w:tc>
          <w:tcPr>
            <w:tcW w:w="2529" w:type="dxa"/>
            <w:tcBorders>
              <w:top w:val="single" w:color="000000" w:sz="8" w:space="0"/>
              <w:left w:val="single" w:color="000000" w:sz="8" w:space="0"/>
              <w:bottom w:val="single" w:color="000000" w:sz="6" w:space="0"/>
              <w:right w:val="single" w:color="000000" w:sz="8" w:space="0"/>
            </w:tcBorders>
            <w:vAlign w:val="center"/>
          </w:tcPr>
          <w:p>
            <w:pPr>
              <w:pStyle w:val="17"/>
              <w:wordWrap w:val="0"/>
            </w:pPr>
            <w:r>
              <w:t>14</w:t>
            </w:r>
            <w:r>
              <w:rPr>
                <w:rFonts w:hint="eastAsia"/>
              </w:rPr>
              <w:t>,</w:t>
            </w:r>
            <w:r>
              <w:t>882</w:t>
            </w:r>
            <w:r>
              <w:rPr>
                <w:rFonts w:hint="eastAsia"/>
              </w:rPr>
              <w:t>,</w:t>
            </w:r>
            <w:r>
              <w:t>486.3</w:t>
            </w:r>
            <w:r>
              <w:rPr>
                <w:rFonts w:hint="eastAsia"/>
              </w:rPr>
              <w:t>0</w:t>
            </w:r>
          </w:p>
        </w:tc>
        <w:tc>
          <w:tcPr>
            <w:tcW w:w="2528"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27.43</w:t>
            </w:r>
          </w:p>
        </w:tc>
      </w:tr>
    </w:tbl>
    <w:p>
      <w:pPr>
        <w:widowControl/>
        <w:jc w:val="left"/>
        <w:rPr>
          <w:rFonts w:hint="eastAsia" w:ascii="宋体" w:hAnsi="宋体" w:cs="宋体"/>
          <w:kern w:val="0"/>
          <w:sz w:val="24"/>
          <w:szCs w:val="24"/>
        </w:rPr>
      </w:pPr>
    </w:p>
    <w:p>
      <w:pPr>
        <w:widowControl/>
        <w:jc w:val="left"/>
        <w:rPr>
          <w:rFonts w:hint="eastAsia" w:ascii="宋体" w:hAnsi="宋体" w:cs="宋体"/>
          <w:kern w:val="0"/>
          <w:sz w:val="24"/>
          <w:szCs w:val="24"/>
        </w:rPr>
      </w:pPr>
    </w:p>
    <w:p>
      <w:pPr>
        <w:pStyle w:val="12"/>
        <w:rPr>
          <w:rFonts w:hint="eastAsia"/>
        </w:rPr>
      </w:pPr>
      <w:r>
        <w:rPr>
          <w:rFonts w:hint="eastAsia"/>
          <w:bCs/>
        </w:rPr>
        <w:t>5.2.3 报告期末按公允价值占产品资产净值比例大小排序的前十名债券投资明细</w:t>
      </w:r>
    </w:p>
    <w:tbl>
      <w:tblPr>
        <w:tblStyle w:val="4"/>
        <w:tblW w:w="0" w:type="auto"/>
        <w:tblInd w:w="108" w:type="dxa"/>
        <w:tblLayout w:type="autofit"/>
        <w:tblCellMar>
          <w:top w:w="0" w:type="dxa"/>
          <w:left w:w="108" w:type="dxa"/>
          <w:bottom w:w="0" w:type="dxa"/>
          <w:right w:w="108" w:type="dxa"/>
        </w:tblCellMar>
      </w:tblPr>
      <w:tblGrid>
        <w:gridCol w:w="709"/>
        <w:gridCol w:w="1276"/>
        <w:gridCol w:w="1257"/>
        <w:gridCol w:w="1382"/>
        <w:gridCol w:w="1897"/>
        <w:gridCol w:w="2677"/>
      </w:tblGrid>
      <w:tr>
        <w:tblPrEx>
          <w:tblCellMar>
            <w:top w:w="0" w:type="dxa"/>
            <w:left w:w="108" w:type="dxa"/>
            <w:bottom w:w="0" w:type="dxa"/>
            <w:right w:w="108" w:type="dxa"/>
          </w:tblCellMar>
        </w:tblPrEx>
        <w:tc>
          <w:tcPr>
            <w:tcW w:w="709"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序号</w:t>
            </w:r>
          </w:p>
        </w:tc>
        <w:tc>
          <w:tcPr>
            <w:tcW w:w="1276"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债券代码</w:t>
            </w:r>
          </w:p>
        </w:tc>
        <w:tc>
          <w:tcPr>
            <w:tcW w:w="1257"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债券名称</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数量（张）</w:t>
            </w:r>
          </w:p>
        </w:tc>
        <w:tc>
          <w:tcPr>
            <w:tcW w:w="1897"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公允价值(元)</w:t>
            </w:r>
          </w:p>
        </w:tc>
        <w:tc>
          <w:tcPr>
            <w:tcW w:w="2677"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占产品资产净值比例（％）</w:t>
            </w:r>
          </w:p>
        </w:tc>
      </w:tr>
      <w:tr>
        <w:tblPrEx>
          <w:tblCellMar>
            <w:top w:w="0" w:type="dxa"/>
            <w:left w:w="108" w:type="dxa"/>
            <w:bottom w:w="0" w:type="dxa"/>
            <w:right w:w="108" w:type="dxa"/>
          </w:tblCellMar>
        </w:tblPrEx>
        <w:tc>
          <w:tcPr>
            <w:tcW w:w="709"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1</w:t>
            </w:r>
          </w:p>
        </w:tc>
        <w:tc>
          <w:tcPr>
            <w:tcW w:w="1276" w:type="dxa"/>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hAnsi="Calibri"/>
                <w:color w:val="000000"/>
              </w:rPr>
              <w:t>162674</w:t>
            </w:r>
          </w:p>
        </w:tc>
        <w:tc>
          <w:tcPr>
            <w:tcW w:w="1257" w:type="dxa"/>
            <w:tcBorders>
              <w:top w:val="single" w:color="000000" w:sz="8" w:space="0"/>
              <w:left w:val="single" w:color="000000" w:sz="8" w:space="0"/>
              <w:bottom w:val="single" w:color="000000" w:sz="6" w:space="0"/>
              <w:right w:val="single" w:color="000000" w:sz="8" w:space="0"/>
            </w:tcBorders>
            <w:vAlign w:val="center"/>
          </w:tcPr>
          <w:p>
            <w:pPr>
              <w:pStyle w:val="15"/>
              <w:wordWrap w:val="0"/>
            </w:pPr>
            <w:r>
              <w:rPr>
                <w:rFonts w:hint="eastAsia" w:hAnsi="Calibri"/>
                <w:color w:val="000000"/>
              </w:rPr>
              <w:t>19仁怀03</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150,000</w:t>
            </w:r>
          </w:p>
        </w:tc>
        <w:tc>
          <w:tcPr>
            <w:tcW w:w="1897" w:type="dxa"/>
            <w:tcBorders>
              <w:top w:val="single" w:color="000000" w:sz="8" w:space="0"/>
              <w:left w:val="single" w:color="000000" w:sz="8" w:space="0"/>
              <w:bottom w:val="single" w:color="000000" w:sz="6" w:space="0"/>
              <w:right w:val="single" w:color="000000" w:sz="8" w:space="0"/>
            </w:tcBorders>
            <w:vAlign w:val="center"/>
          </w:tcPr>
          <w:p>
            <w:pPr>
              <w:pStyle w:val="17"/>
              <w:wordWrap w:val="0"/>
            </w:pPr>
            <w:r>
              <w:t>14</w:t>
            </w:r>
            <w:r>
              <w:rPr>
                <w:rFonts w:hint="eastAsia"/>
              </w:rPr>
              <w:t>,</w:t>
            </w:r>
            <w:r>
              <w:t>882</w:t>
            </w:r>
            <w:r>
              <w:rPr>
                <w:rFonts w:hint="eastAsia"/>
              </w:rPr>
              <w:t>,</w:t>
            </w:r>
            <w:r>
              <w:t>486.3</w:t>
            </w:r>
            <w:r>
              <w:rPr>
                <w:rFonts w:hint="eastAsia"/>
              </w:rPr>
              <w:t>0</w:t>
            </w:r>
          </w:p>
        </w:tc>
        <w:tc>
          <w:tcPr>
            <w:tcW w:w="2677"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27.43</w:t>
            </w:r>
          </w:p>
        </w:tc>
      </w:tr>
    </w:tbl>
    <w:p>
      <w:pPr>
        <w:widowControl/>
        <w:jc w:val="left"/>
        <w:rPr>
          <w:rFonts w:hint="eastAsia" w:ascii="宋体" w:hAnsi="宋体" w:cs="宋体"/>
          <w:kern w:val="0"/>
          <w:sz w:val="24"/>
          <w:szCs w:val="24"/>
        </w:rPr>
      </w:pPr>
    </w:p>
    <w:p>
      <w:pPr>
        <w:widowControl/>
        <w:jc w:val="left"/>
        <w:rPr>
          <w:rFonts w:hint="eastAsia" w:ascii="宋体" w:hAnsi="宋体" w:cs="宋体"/>
          <w:kern w:val="0"/>
          <w:sz w:val="24"/>
          <w:szCs w:val="24"/>
        </w:rPr>
      </w:pPr>
    </w:p>
    <w:p>
      <w:pPr>
        <w:widowControl/>
        <w:jc w:val="left"/>
        <w:rPr>
          <w:rFonts w:ascii="宋体" w:cs="宋体"/>
          <w:kern w:val="0"/>
          <w:sz w:val="24"/>
          <w:szCs w:val="24"/>
        </w:rPr>
      </w:pPr>
      <w:r>
        <w:rPr>
          <w:rFonts w:ascii="宋体" w:hAnsi="宋体" w:cs="宋体"/>
          <w:kern w:val="0"/>
          <w:sz w:val="24"/>
          <w:szCs w:val="24"/>
        </w:rPr>
        <w:t>5.2.</w:t>
      </w:r>
      <w:r>
        <w:rPr>
          <w:rFonts w:hint="eastAsia" w:ascii="宋体" w:hAnsi="宋体" w:cs="宋体"/>
          <w:kern w:val="0"/>
          <w:sz w:val="24"/>
          <w:szCs w:val="24"/>
        </w:rPr>
        <w:t>4期末理财产品间接投资资产组合情况</w:t>
      </w:r>
    </w:p>
    <w:p>
      <w:pPr>
        <w:widowControl/>
        <w:jc w:val="left"/>
        <w:rPr>
          <w:rFonts w:ascii="宋体" w:cs="宋体"/>
          <w:kern w:val="0"/>
          <w:sz w:val="24"/>
          <w:szCs w:val="24"/>
        </w:rPr>
      </w:pPr>
    </w:p>
    <w:tbl>
      <w:tblPr>
        <w:tblStyle w:val="4"/>
        <w:tblW w:w="9192" w:type="dxa"/>
        <w:tblInd w:w="1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 w:type="dxa"/>
          <w:bottom w:w="0" w:type="dxa"/>
          <w:right w:w="10" w:type="dxa"/>
        </w:tblCellMar>
      </w:tblPr>
      <w:tblGrid>
        <w:gridCol w:w="592"/>
        <w:gridCol w:w="4349"/>
        <w:gridCol w:w="2138"/>
        <w:gridCol w:w="211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cs="宋体"/>
                <w:kern w:val="0"/>
                <w:sz w:val="24"/>
                <w:szCs w:val="24"/>
              </w:rPr>
            </w:pPr>
            <w:r>
              <w:rPr>
                <w:rFonts w:hint="eastAsia" w:ascii="宋体" w:hAnsi="宋体" w:cs="宋体"/>
                <w:kern w:val="0"/>
                <w:sz w:val="24"/>
                <w:szCs w:val="24"/>
              </w:rPr>
              <w:t>序号</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项目</w:t>
            </w:r>
          </w:p>
        </w:tc>
        <w:tc>
          <w:tcPr>
            <w:tcW w:w="2138" w:type="dxa"/>
            <w:vAlign w:val="center"/>
          </w:tcPr>
          <w:p>
            <w:pPr>
              <w:widowControl/>
              <w:jc w:val="left"/>
              <w:rPr>
                <w:rFonts w:ascii="宋体" w:hAnsi="宋体" w:cs="宋体"/>
                <w:kern w:val="0"/>
                <w:sz w:val="24"/>
                <w:szCs w:val="24"/>
              </w:rPr>
            </w:pPr>
            <w:r>
              <w:rPr>
                <w:rFonts w:hint="eastAsia" w:ascii="宋体" w:hAnsi="宋体" w:cs="宋体"/>
                <w:kern w:val="0"/>
                <w:sz w:val="24"/>
                <w:szCs w:val="24"/>
              </w:rPr>
              <w:t>金额</w:t>
            </w:r>
            <w:r>
              <w:rPr>
                <w:rFonts w:ascii="宋体" w:hAnsi="宋体" w:cs="宋体"/>
                <w:kern w:val="0"/>
                <w:sz w:val="24"/>
                <w:szCs w:val="24"/>
              </w:rPr>
              <w:t>(</w:t>
            </w:r>
            <w:r>
              <w:rPr>
                <w:rFonts w:hint="eastAsia" w:ascii="宋体" w:hAnsi="宋体" w:cs="宋体"/>
                <w:kern w:val="0"/>
                <w:sz w:val="24"/>
                <w:szCs w:val="24"/>
              </w:rPr>
              <w:t>元</w:t>
            </w:r>
            <w:r>
              <w:rPr>
                <w:rFonts w:ascii="宋体" w:hAnsi="宋体" w:cs="宋体"/>
                <w:kern w:val="0"/>
                <w:sz w:val="24"/>
                <w:szCs w:val="24"/>
              </w:rPr>
              <w:t>)</w:t>
            </w:r>
          </w:p>
        </w:tc>
        <w:tc>
          <w:tcPr>
            <w:tcW w:w="2113" w:type="dxa"/>
            <w:vAlign w:val="center"/>
          </w:tcPr>
          <w:p>
            <w:pPr>
              <w:widowControl/>
              <w:jc w:val="left"/>
              <w:rPr>
                <w:rFonts w:ascii="宋体" w:hAnsi="宋体" w:cs="宋体"/>
                <w:kern w:val="0"/>
                <w:sz w:val="24"/>
                <w:szCs w:val="24"/>
              </w:rPr>
            </w:pPr>
            <w:r>
              <w:rPr>
                <w:rFonts w:hint="eastAsia" w:ascii="宋体" w:hAnsi="宋体" w:cs="宋体"/>
                <w:kern w:val="0"/>
                <w:sz w:val="24"/>
                <w:szCs w:val="24"/>
              </w:rPr>
              <w:t>占理财计划总资产的比例</w:t>
            </w:r>
            <w:r>
              <w:rPr>
                <w:rFonts w:ascii="宋体" w:hAns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1</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固定收益投资</w:t>
            </w:r>
          </w:p>
        </w:tc>
        <w:tc>
          <w:tcPr>
            <w:tcW w:w="2138" w:type="dxa"/>
            <w:vAlign w:val="center"/>
          </w:tcPr>
          <w:p>
            <w:pPr>
              <w:widowControl/>
              <w:jc w:val="left"/>
              <w:rPr>
                <w:rFonts w:ascii="宋体" w:cs="宋体"/>
                <w:kern w:val="0"/>
                <w:sz w:val="24"/>
                <w:szCs w:val="24"/>
              </w:rPr>
            </w:pPr>
            <w:r>
              <w:rPr>
                <w:rFonts w:hint="eastAsia" w:ascii="宋体" w:hAnsi="宋体" w:cs="宋体"/>
                <w:kern w:val="0"/>
                <w:sz w:val="24"/>
                <w:szCs w:val="24"/>
              </w:rPr>
              <w:t>370,859,835.49</w:t>
            </w:r>
          </w:p>
        </w:tc>
        <w:tc>
          <w:tcPr>
            <w:tcW w:w="2113" w:type="dxa"/>
            <w:vAlign w:val="center"/>
          </w:tcPr>
          <w:p>
            <w:pPr>
              <w:widowControl/>
              <w:jc w:val="right"/>
              <w:rPr>
                <w:rFonts w:ascii="宋体" w:cs="宋体"/>
                <w:kern w:val="0"/>
                <w:sz w:val="24"/>
                <w:szCs w:val="24"/>
              </w:rPr>
            </w:pPr>
            <w:r>
              <w:rPr>
                <w:rFonts w:hint="eastAsia" w:ascii="宋体" w:hAnsi="宋体" w:cs="宋体"/>
                <w:kern w:val="0"/>
                <w:sz w:val="24"/>
                <w:szCs w:val="24"/>
              </w:rPr>
              <w:t>94.40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cs="宋体"/>
                <w:kern w:val="0"/>
                <w:sz w:val="24"/>
                <w:szCs w:val="24"/>
              </w:rPr>
            </w:pP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其中：债券</w:t>
            </w:r>
          </w:p>
        </w:tc>
        <w:tc>
          <w:tcPr>
            <w:tcW w:w="2138" w:type="dxa"/>
            <w:vAlign w:val="center"/>
          </w:tcPr>
          <w:p>
            <w:pPr>
              <w:widowControl/>
              <w:jc w:val="left"/>
              <w:rPr>
                <w:rFonts w:ascii="宋体" w:cs="宋体"/>
                <w:kern w:val="0"/>
                <w:sz w:val="24"/>
                <w:szCs w:val="24"/>
              </w:rPr>
            </w:pPr>
            <w:r>
              <w:rPr>
                <w:rFonts w:hint="eastAsia" w:ascii="宋体" w:hAnsi="宋体" w:cs="宋体"/>
                <w:kern w:val="0"/>
                <w:sz w:val="24"/>
                <w:szCs w:val="24"/>
              </w:rPr>
              <w:t>347,634,123.57</w:t>
            </w:r>
          </w:p>
        </w:tc>
        <w:tc>
          <w:tcPr>
            <w:tcW w:w="2113" w:type="dxa"/>
            <w:vAlign w:val="center"/>
          </w:tcPr>
          <w:p>
            <w:pPr>
              <w:widowControl/>
              <w:jc w:val="right"/>
              <w:rPr>
                <w:rFonts w:ascii="宋体" w:cs="宋体"/>
                <w:kern w:val="0"/>
                <w:sz w:val="24"/>
                <w:szCs w:val="24"/>
              </w:rPr>
            </w:pPr>
            <w:r>
              <w:rPr>
                <w:rFonts w:hint="eastAsia" w:ascii="宋体" w:hAnsi="宋体" w:cs="宋体"/>
                <w:kern w:val="0"/>
                <w:sz w:val="24"/>
                <w:szCs w:val="24"/>
              </w:rPr>
              <w:t>88.49</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cs="宋体"/>
                <w:kern w:val="0"/>
                <w:sz w:val="24"/>
                <w:szCs w:val="24"/>
              </w:rPr>
            </w:pP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　　　资产支持证券</w:t>
            </w:r>
          </w:p>
        </w:tc>
        <w:tc>
          <w:tcPr>
            <w:tcW w:w="2138" w:type="dxa"/>
            <w:vAlign w:val="center"/>
          </w:tcPr>
          <w:p>
            <w:pPr>
              <w:widowControl/>
              <w:jc w:val="left"/>
              <w:rPr>
                <w:rFonts w:ascii="宋体" w:cs="宋体"/>
                <w:kern w:val="0"/>
                <w:sz w:val="24"/>
                <w:szCs w:val="24"/>
              </w:rPr>
            </w:pPr>
            <w:r>
              <w:rPr>
                <w:rFonts w:hint="eastAsia" w:ascii="宋体" w:cs="宋体"/>
                <w:kern w:val="0"/>
                <w:sz w:val="24"/>
                <w:szCs w:val="24"/>
              </w:rPr>
              <w:t>23,225,711.92</w:t>
            </w:r>
          </w:p>
        </w:tc>
        <w:tc>
          <w:tcPr>
            <w:tcW w:w="2113" w:type="dxa"/>
            <w:vAlign w:val="center"/>
          </w:tcPr>
          <w:p>
            <w:pPr>
              <w:widowControl/>
              <w:jc w:val="right"/>
              <w:rPr>
                <w:rFonts w:ascii="宋体" w:cs="宋体"/>
                <w:kern w:val="0"/>
                <w:sz w:val="24"/>
                <w:szCs w:val="24"/>
              </w:rPr>
            </w:pPr>
            <w:r>
              <w:rPr>
                <w:rFonts w:hint="eastAsia" w:ascii="宋体" w:cs="宋体"/>
                <w:kern w:val="0"/>
                <w:sz w:val="24"/>
                <w:szCs w:val="24"/>
              </w:rPr>
              <w:t>5.91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2</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权益投资</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cs="宋体"/>
                <w:kern w:val="0"/>
                <w:sz w:val="24"/>
                <w:szCs w:val="24"/>
              </w:rPr>
            </w:pP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其中：股票</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3</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基金投资</w:t>
            </w:r>
          </w:p>
        </w:tc>
        <w:tc>
          <w:tcPr>
            <w:tcW w:w="2138" w:type="dxa"/>
            <w:vAlign w:val="center"/>
          </w:tcPr>
          <w:p>
            <w:pPr>
              <w:widowControl/>
              <w:jc w:val="left"/>
              <w:rPr>
                <w:rFonts w:ascii="宋体" w:cs="宋体"/>
                <w:kern w:val="0"/>
                <w:sz w:val="24"/>
                <w:szCs w:val="24"/>
              </w:rPr>
            </w:pPr>
            <w:r>
              <w:rPr>
                <w:rFonts w:hint="eastAsia" w:ascii="宋体" w:cs="宋体"/>
                <w:kern w:val="0"/>
                <w:sz w:val="24"/>
                <w:szCs w:val="24"/>
              </w:rPr>
              <w:t>-</w:t>
            </w:r>
          </w:p>
        </w:tc>
        <w:tc>
          <w:tcPr>
            <w:tcW w:w="2113" w:type="dxa"/>
            <w:vAlign w:val="center"/>
          </w:tcPr>
          <w:p>
            <w:pPr>
              <w:widowControl/>
              <w:jc w:val="right"/>
              <w:rPr>
                <w:rFonts w:ascii="宋体" w:cs="宋体"/>
                <w:kern w:val="0"/>
                <w:sz w:val="24"/>
                <w:szCs w:val="24"/>
              </w:rPr>
            </w:pPr>
            <w:r>
              <w:rPr>
                <w:rFonts w:hint="eastAsia"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4</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信托投资</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5</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金融衍生品投资</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6</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买入返售金融资产</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cs="宋体"/>
                <w:kern w:val="0"/>
                <w:sz w:val="24"/>
                <w:szCs w:val="24"/>
              </w:rPr>
            </w:pP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其中：买断式回购的买入返售金融资产</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7</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银行存款和结算备付金合计</w:t>
            </w:r>
          </w:p>
        </w:tc>
        <w:tc>
          <w:tcPr>
            <w:tcW w:w="2138" w:type="dxa"/>
            <w:vAlign w:val="center"/>
          </w:tcPr>
          <w:p>
            <w:pPr>
              <w:widowControl/>
              <w:jc w:val="left"/>
              <w:rPr>
                <w:rFonts w:ascii="宋体" w:cs="宋体"/>
                <w:kern w:val="0"/>
                <w:sz w:val="24"/>
                <w:szCs w:val="24"/>
              </w:rPr>
            </w:pPr>
            <w:r>
              <w:rPr>
                <w:rFonts w:hint="eastAsia" w:ascii="宋体" w:hAnsi="宋体" w:cs="宋体"/>
                <w:kern w:val="0"/>
                <w:sz w:val="24"/>
                <w:szCs w:val="24"/>
              </w:rPr>
              <w:t>22,011,286.80</w:t>
            </w:r>
          </w:p>
        </w:tc>
        <w:tc>
          <w:tcPr>
            <w:tcW w:w="2113" w:type="dxa"/>
            <w:vAlign w:val="center"/>
          </w:tcPr>
          <w:p>
            <w:pPr>
              <w:widowControl/>
              <w:jc w:val="right"/>
              <w:rPr>
                <w:rFonts w:ascii="宋体" w:cs="宋体"/>
                <w:kern w:val="0"/>
                <w:sz w:val="24"/>
                <w:szCs w:val="24"/>
              </w:rPr>
            </w:pPr>
            <w:r>
              <w:rPr>
                <w:rFonts w:hint="eastAsia" w:ascii="宋体" w:cs="宋体"/>
                <w:kern w:val="0"/>
                <w:sz w:val="24"/>
                <w:szCs w:val="24"/>
              </w:rPr>
              <w:t>5.60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8</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其他资产</w:t>
            </w:r>
          </w:p>
        </w:tc>
        <w:tc>
          <w:tcPr>
            <w:tcW w:w="2138" w:type="dxa"/>
            <w:vAlign w:val="center"/>
          </w:tcPr>
          <w:p>
            <w:pPr>
              <w:widowControl/>
              <w:jc w:val="left"/>
              <w:rPr>
                <w:rFonts w:ascii="宋体" w:cs="宋体"/>
                <w:kern w:val="0"/>
                <w:sz w:val="24"/>
                <w:szCs w:val="24"/>
              </w:rPr>
            </w:pPr>
            <w:r>
              <w:rPr>
                <w:rFonts w:ascii="宋体" w:cs="宋体"/>
                <w:kern w:val="0"/>
                <w:sz w:val="24"/>
                <w:szCs w:val="24"/>
              </w:rPr>
              <w:t>-</w:t>
            </w:r>
          </w:p>
        </w:tc>
        <w:tc>
          <w:tcPr>
            <w:tcW w:w="2113" w:type="dxa"/>
            <w:vAlign w:val="center"/>
          </w:tcPr>
          <w:p>
            <w:pPr>
              <w:widowControl/>
              <w:jc w:val="right"/>
              <w:rPr>
                <w:rFonts w:ascii="宋体" w:cs="宋体"/>
                <w:kern w:val="0"/>
                <w:sz w:val="24"/>
                <w:szCs w:val="24"/>
              </w:rPr>
            </w:pPr>
            <w:r>
              <w:rPr>
                <w:rFonts w:asci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9</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合计</w:t>
            </w:r>
          </w:p>
        </w:tc>
        <w:tc>
          <w:tcPr>
            <w:tcW w:w="2138" w:type="dxa"/>
            <w:vAlign w:val="center"/>
          </w:tcPr>
          <w:p>
            <w:pPr>
              <w:widowControl/>
              <w:jc w:val="left"/>
              <w:rPr>
                <w:rFonts w:ascii="宋体" w:hAnsi="宋体" w:cs="宋体"/>
                <w:kern w:val="0"/>
                <w:sz w:val="24"/>
                <w:szCs w:val="24"/>
              </w:rPr>
            </w:pPr>
            <w:r>
              <w:rPr>
                <w:rFonts w:hint="eastAsia" w:ascii="宋体" w:hAnsi="宋体" w:cs="宋体"/>
                <w:kern w:val="0"/>
                <w:sz w:val="24"/>
                <w:szCs w:val="24"/>
              </w:rPr>
              <w:t>392,871,122.29</w:t>
            </w:r>
          </w:p>
        </w:tc>
        <w:tc>
          <w:tcPr>
            <w:tcW w:w="2113" w:type="dxa"/>
            <w:vAlign w:val="center"/>
          </w:tcPr>
          <w:p>
            <w:pPr>
              <w:widowControl/>
              <w:jc w:val="right"/>
              <w:rPr>
                <w:rFonts w:ascii="宋体" w:hAnsi="宋体" w:cs="宋体"/>
                <w:kern w:val="0"/>
                <w:sz w:val="24"/>
                <w:szCs w:val="24"/>
              </w:rPr>
            </w:pPr>
            <w:r>
              <w:rPr>
                <w:rFonts w:ascii="宋体" w:hAnsi="宋体" w:cs="宋体"/>
                <w:kern w:val="0"/>
                <w:sz w:val="24"/>
                <w:szCs w:val="24"/>
              </w:rPr>
              <w:t>100.00</w:t>
            </w:r>
          </w:p>
        </w:tc>
      </w:tr>
    </w:tbl>
    <w:p>
      <w:pPr>
        <w:widowControl/>
        <w:jc w:val="left"/>
        <w:rPr>
          <w:rFonts w:ascii="仿宋" w:hAnsi="仿宋" w:eastAsia="仿宋"/>
          <w:szCs w:val="20"/>
        </w:rPr>
      </w:pPr>
      <w:r>
        <w:rPr>
          <w:rFonts w:hint="eastAsia" w:ascii="仿宋" w:hAnsi="仿宋" w:eastAsia="仿宋"/>
          <w:szCs w:val="20"/>
        </w:rPr>
        <w:t>注：由于四舍五入原因，各分项占资产总值的比例之和与合计可能存在尾差。</w:t>
      </w:r>
    </w:p>
    <w:p>
      <w:pPr>
        <w:widowControl/>
        <w:jc w:val="left"/>
        <w:rPr>
          <w:rFonts w:ascii="宋体" w:cs="宋体"/>
          <w:kern w:val="0"/>
          <w:sz w:val="24"/>
          <w:szCs w:val="24"/>
        </w:rPr>
      </w:pPr>
    </w:p>
    <w:p>
      <w:pPr>
        <w:widowControl/>
        <w:jc w:val="left"/>
        <w:rPr>
          <w:rFonts w:ascii="宋体" w:cs="宋体"/>
          <w:kern w:val="0"/>
          <w:sz w:val="24"/>
          <w:szCs w:val="24"/>
        </w:rPr>
      </w:pPr>
    </w:p>
    <w:p>
      <w:pPr>
        <w:widowControl/>
        <w:jc w:val="left"/>
        <w:rPr>
          <w:rFonts w:ascii="宋体" w:cs="宋体"/>
          <w:kern w:val="0"/>
          <w:sz w:val="24"/>
          <w:szCs w:val="24"/>
        </w:rPr>
      </w:pPr>
      <w:r>
        <w:rPr>
          <w:rFonts w:ascii="宋体" w:hAnsi="宋体" w:cs="宋体"/>
          <w:kern w:val="0"/>
          <w:sz w:val="24"/>
          <w:szCs w:val="24"/>
        </w:rPr>
        <w:t>5.2.</w:t>
      </w:r>
      <w:r>
        <w:rPr>
          <w:rFonts w:hint="eastAsia" w:ascii="宋体" w:hAnsi="宋体" w:cs="宋体"/>
          <w:kern w:val="0"/>
          <w:sz w:val="24"/>
          <w:szCs w:val="24"/>
        </w:rPr>
        <w:t>5期末间接投资前十项持仓资产情况</w:t>
      </w:r>
    </w:p>
    <w:p>
      <w:pPr>
        <w:widowControl/>
        <w:jc w:val="left"/>
        <w:rPr>
          <w:rFonts w:ascii="宋体" w:cs="宋体"/>
          <w:kern w:val="0"/>
          <w:sz w:val="24"/>
          <w:szCs w:val="24"/>
        </w:rPr>
      </w:pPr>
    </w:p>
    <w:tbl>
      <w:tblPr>
        <w:tblStyle w:val="4"/>
        <w:tblW w:w="9192" w:type="dxa"/>
        <w:tblInd w:w="1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 w:type="dxa"/>
          <w:bottom w:w="0" w:type="dxa"/>
          <w:right w:w="10" w:type="dxa"/>
        </w:tblCellMar>
      </w:tblPr>
      <w:tblGrid>
        <w:gridCol w:w="592"/>
        <w:gridCol w:w="4349"/>
        <w:gridCol w:w="2138"/>
        <w:gridCol w:w="211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805" w:hRule="atLeast"/>
        </w:trPr>
        <w:tc>
          <w:tcPr>
            <w:tcW w:w="592" w:type="dxa"/>
            <w:vAlign w:val="center"/>
          </w:tcPr>
          <w:p>
            <w:pPr>
              <w:widowControl/>
              <w:jc w:val="left"/>
              <w:rPr>
                <w:rFonts w:ascii="宋体" w:cs="宋体"/>
                <w:kern w:val="0"/>
                <w:sz w:val="24"/>
                <w:szCs w:val="24"/>
              </w:rPr>
            </w:pPr>
            <w:r>
              <w:rPr>
                <w:rFonts w:hint="eastAsia" w:ascii="宋体" w:hAnsi="宋体" w:cs="宋体"/>
                <w:kern w:val="0"/>
                <w:sz w:val="24"/>
                <w:szCs w:val="24"/>
              </w:rPr>
              <w:t>序号</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项目</w:t>
            </w:r>
          </w:p>
        </w:tc>
        <w:tc>
          <w:tcPr>
            <w:tcW w:w="2138" w:type="dxa"/>
            <w:vAlign w:val="center"/>
          </w:tcPr>
          <w:p>
            <w:pPr>
              <w:widowControl/>
              <w:jc w:val="left"/>
              <w:rPr>
                <w:rFonts w:ascii="宋体" w:hAnsi="宋体" w:cs="宋体"/>
                <w:kern w:val="0"/>
                <w:sz w:val="24"/>
                <w:szCs w:val="24"/>
              </w:rPr>
            </w:pPr>
            <w:r>
              <w:rPr>
                <w:rFonts w:hint="eastAsia" w:ascii="宋体" w:hAnsi="宋体" w:cs="宋体"/>
                <w:kern w:val="0"/>
                <w:sz w:val="24"/>
                <w:szCs w:val="24"/>
              </w:rPr>
              <w:t>金额</w:t>
            </w:r>
            <w:r>
              <w:rPr>
                <w:rFonts w:ascii="宋体" w:hAnsi="宋体" w:cs="宋体"/>
                <w:kern w:val="0"/>
                <w:sz w:val="24"/>
                <w:szCs w:val="24"/>
              </w:rPr>
              <w:t>(</w:t>
            </w:r>
            <w:r>
              <w:rPr>
                <w:rFonts w:hint="eastAsia" w:ascii="宋体" w:hAnsi="宋体" w:cs="宋体"/>
                <w:kern w:val="0"/>
                <w:sz w:val="24"/>
                <w:szCs w:val="24"/>
              </w:rPr>
              <w:t>元</w:t>
            </w:r>
            <w:r>
              <w:rPr>
                <w:rFonts w:ascii="宋体" w:hAnsi="宋体" w:cs="宋体"/>
                <w:kern w:val="0"/>
                <w:sz w:val="24"/>
                <w:szCs w:val="24"/>
              </w:rPr>
              <w:t>)</w:t>
            </w:r>
          </w:p>
        </w:tc>
        <w:tc>
          <w:tcPr>
            <w:tcW w:w="2113" w:type="dxa"/>
            <w:vAlign w:val="center"/>
          </w:tcPr>
          <w:p>
            <w:pPr>
              <w:widowControl/>
              <w:jc w:val="left"/>
              <w:rPr>
                <w:rFonts w:ascii="宋体" w:hAnsi="宋体" w:cs="宋体"/>
                <w:kern w:val="0"/>
                <w:sz w:val="24"/>
                <w:szCs w:val="24"/>
              </w:rPr>
            </w:pPr>
            <w:r>
              <w:rPr>
                <w:rFonts w:hint="eastAsia" w:ascii="宋体" w:hAnsi="宋体" w:cs="宋体"/>
                <w:kern w:val="0"/>
                <w:sz w:val="24"/>
                <w:szCs w:val="24"/>
              </w:rPr>
              <w:t>占理财计划总资产的比例</w:t>
            </w:r>
            <w:r>
              <w:rPr>
                <w:rFonts w:ascii="宋体" w:hAnsi="宋体" w:cs="宋体"/>
                <w:kern w:val="0"/>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1</w:t>
            </w:r>
          </w:p>
        </w:tc>
        <w:tc>
          <w:tcPr>
            <w:tcW w:w="4349" w:type="dxa"/>
            <w:vAlign w:val="center"/>
          </w:tcPr>
          <w:p>
            <w:pPr>
              <w:rPr>
                <w:rFonts w:ascii="宋体" w:hAnsi="宋体" w:cs="Arial"/>
                <w:color w:val="000000"/>
                <w:sz w:val="24"/>
                <w:szCs w:val="24"/>
              </w:rPr>
            </w:pPr>
            <w:r>
              <w:rPr>
                <w:rFonts w:hint="eastAsia" w:ascii="宋体" w:hAnsi="宋体" w:cs="Arial"/>
                <w:color w:val="000000"/>
                <w:sz w:val="24"/>
                <w:szCs w:val="24"/>
              </w:rPr>
              <w:t>S19九龙1</w:t>
            </w:r>
          </w:p>
        </w:tc>
        <w:tc>
          <w:tcPr>
            <w:tcW w:w="2138" w:type="dxa"/>
            <w:vAlign w:val="center"/>
          </w:tcPr>
          <w:p>
            <w:pPr>
              <w:jc w:val="right"/>
              <w:rPr>
                <w:rFonts w:ascii="宋体" w:hAnsi="宋体" w:cs="Arial"/>
                <w:color w:val="000000"/>
                <w:sz w:val="24"/>
                <w:szCs w:val="24"/>
              </w:rPr>
            </w:pPr>
            <w:r>
              <w:rPr>
                <w:rFonts w:ascii="宋体" w:hAnsi="宋体" w:cs="Arial"/>
                <w:color w:val="000000"/>
                <w:sz w:val="24"/>
                <w:szCs w:val="24"/>
              </w:rPr>
              <w:t xml:space="preserve">    73,826,541.10 </w:t>
            </w:r>
          </w:p>
        </w:tc>
        <w:tc>
          <w:tcPr>
            <w:tcW w:w="2113" w:type="dxa"/>
            <w:vAlign w:val="center"/>
          </w:tcPr>
          <w:p>
            <w:pPr>
              <w:jc w:val="right"/>
              <w:rPr>
                <w:rFonts w:ascii="宋体" w:hAnsi="宋体" w:cs="Arial"/>
                <w:color w:val="000000"/>
                <w:sz w:val="24"/>
                <w:szCs w:val="24"/>
              </w:rPr>
            </w:pPr>
            <w:r>
              <w:rPr>
                <w:rFonts w:ascii="宋体" w:hAnsi="宋体" w:cs="Arial"/>
                <w:color w:val="000000"/>
                <w:sz w:val="24"/>
                <w:szCs w:val="24"/>
              </w:rPr>
              <w:t>18.79%</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2</w:t>
            </w:r>
          </w:p>
        </w:tc>
        <w:tc>
          <w:tcPr>
            <w:tcW w:w="4349" w:type="dxa"/>
            <w:vAlign w:val="center"/>
          </w:tcPr>
          <w:p>
            <w:pPr>
              <w:rPr>
                <w:rFonts w:ascii="宋体" w:hAnsi="宋体" w:cs="Arial"/>
                <w:color w:val="000000"/>
                <w:sz w:val="24"/>
                <w:szCs w:val="24"/>
              </w:rPr>
            </w:pPr>
            <w:r>
              <w:rPr>
                <w:rFonts w:hint="eastAsia" w:ascii="宋体" w:hAnsi="宋体" w:cs="Arial"/>
                <w:color w:val="000000"/>
                <w:sz w:val="24"/>
                <w:szCs w:val="24"/>
              </w:rPr>
              <w:t>19新宇01</w:t>
            </w:r>
          </w:p>
        </w:tc>
        <w:tc>
          <w:tcPr>
            <w:tcW w:w="2138" w:type="dxa"/>
            <w:vAlign w:val="center"/>
          </w:tcPr>
          <w:p>
            <w:pPr>
              <w:jc w:val="right"/>
              <w:rPr>
                <w:rFonts w:ascii="宋体" w:hAnsi="宋体" w:cs="Arial"/>
                <w:color w:val="000000"/>
                <w:sz w:val="24"/>
                <w:szCs w:val="24"/>
              </w:rPr>
            </w:pPr>
            <w:r>
              <w:rPr>
                <w:rFonts w:ascii="宋体" w:hAnsi="宋体" w:cs="Arial"/>
                <w:color w:val="000000"/>
                <w:sz w:val="24"/>
                <w:szCs w:val="24"/>
              </w:rPr>
              <w:t xml:space="preserve">    52,916,471.92 </w:t>
            </w:r>
          </w:p>
        </w:tc>
        <w:tc>
          <w:tcPr>
            <w:tcW w:w="2113" w:type="dxa"/>
            <w:vAlign w:val="center"/>
          </w:tcPr>
          <w:p>
            <w:pPr>
              <w:jc w:val="right"/>
              <w:rPr>
                <w:rFonts w:ascii="宋体" w:hAnsi="宋体" w:cs="Arial"/>
                <w:color w:val="000000"/>
                <w:sz w:val="24"/>
                <w:szCs w:val="24"/>
              </w:rPr>
            </w:pPr>
            <w:r>
              <w:rPr>
                <w:rFonts w:ascii="宋体" w:hAnsi="宋体" w:cs="Arial"/>
                <w:color w:val="000000"/>
                <w:sz w:val="24"/>
                <w:szCs w:val="24"/>
              </w:rPr>
              <w:t>13.47%</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3</w:t>
            </w:r>
          </w:p>
        </w:tc>
        <w:tc>
          <w:tcPr>
            <w:tcW w:w="4349" w:type="dxa"/>
            <w:vAlign w:val="center"/>
          </w:tcPr>
          <w:p>
            <w:pPr>
              <w:rPr>
                <w:rFonts w:ascii="宋体" w:hAnsi="宋体" w:cs="Arial"/>
                <w:color w:val="000000"/>
                <w:sz w:val="24"/>
                <w:szCs w:val="24"/>
              </w:rPr>
            </w:pPr>
            <w:r>
              <w:rPr>
                <w:rFonts w:hint="eastAsia" w:ascii="宋体" w:hAnsi="宋体" w:cs="Arial"/>
                <w:color w:val="000000"/>
                <w:sz w:val="24"/>
                <w:szCs w:val="24"/>
              </w:rPr>
              <w:t>20铜开01</w:t>
            </w:r>
          </w:p>
        </w:tc>
        <w:tc>
          <w:tcPr>
            <w:tcW w:w="2138" w:type="dxa"/>
            <w:vAlign w:val="center"/>
          </w:tcPr>
          <w:p>
            <w:pPr>
              <w:jc w:val="right"/>
              <w:rPr>
                <w:rFonts w:ascii="宋体" w:hAnsi="宋体" w:cs="Arial"/>
                <w:color w:val="000000"/>
                <w:sz w:val="24"/>
                <w:szCs w:val="24"/>
              </w:rPr>
            </w:pPr>
            <w:r>
              <w:rPr>
                <w:rFonts w:ascii="宋体" w:hAnsi="宋体" w:cs="Arial"/>
                <w:color w:val="000000"/>
                <w:sz w:val="24"/>
                <w:szCs w:val="24"/>
              </w:rPr>
              <w:t xml:space="preserve">    41,819,240.27 </w:t>
            </w:r>
          </w:p>
        </w:tc>
        <w:tc>
          <w:tcPr>
            <w:tcW w:w="2113" w:type="dxa"/>
            <w:vAlign w:val="center"/>
          </w:tcPr>
          <w:p>
            <w:pPr>
              <w:jc w:val="right"/>
              <w:rPr>
                <w:rFonts w:ascii="宋体" w:hAnsi="宋体" w:cs="Arial"/>
                <w:color w:val="000000"/>
                <w:sz w:val="24"/>
                <w:szCs w:val="24"/>
              </w:rPr>
            </w:pPr>
            <w:r>
              <w:rPr>
                <w:rFonts w:ascii="宋体" w:hAnsi="宋体" w:cs="Arial"/>
                <w:color w:val="000000"/>
                <w:sz w:val="24"/>
                <w:szCs w:val="24"/>
              </w:rPr>
              <w:t>10.64%</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4</w:t>
            </w:r>
          </w:p>
        </w:tc>
        <w:tc>
          <w:tcPr>
            <w:tcW w:w="4349" w:type="dxa"/>
            <w:vAlign w:val="center"/>
          </w:tcPr>
          <w:p>
            <w:pPr>
              <w:rPr>
                <w:rFonts w:ascii="宋体" w:hAnsi="宋体" w:cs="Arial"/>
                <w:color w:val="000000"/>
                <w:sz w:val="24"/>
                <w:szCs w:val="24"/>
              </w:rPr>
            </w:pPr>
            <w:r>
              <w:rPr>
                <w:rFonts w:hint="eastAsia" w:ascii="宋体" w:hAnsi="宋体" w:cs="Arial"/>
                <w:color w:val="000000"/>
                <w:sz w:val="24"/>
                <w:szCs w:val="24"/>
              </w:rPr>
              <w:t>16西秀01</w:t>
            </w:r>
          </w:p>
        </w:tc>
        <w:tc>
          <w:tcPr>
            <w:tcW w:w="2138" w:type="dxa"/>
            <w:vAlign w:val="center"/>
          </w:tcPr>
          <w:p>
            <w:pPr>
              <w:jc w:val="right"/>
              <w:rPr>
                <w:rFonts w:ascii="宋体" w:hAnsi="宋体" w:cs="Arial"/>
                <w:color w:val="000000"/>
                <w:sz w:val="24"/>
                <w:szCs w:val="24"/>
              </w:rPr>
            </w:pPr>
            <w:r>
              <w:rPr>
                <w:rFonts w:ascii="宋体" w:hAnsi="宋体" w:cs="Arial"/>
                <w:color w:val="000000"/>
                <w:sz w:val="24"/>
                <w:szCs w:val="24"/>
              </w:rPr>
              <w:t xml:space="preserve">    40,091,605.48 </w:t>
            </w:r>
          </w:p>
        </w:tc>
        <w:tc>
          <w:tcPr>
            <w:tcW w:w="2113" w:type="dxa"/>
            <w:vAlign w:val="center"/>
          </w:tcPr>
          <w:p>
            <w:pPr>
              <w:jc w:val="right"/>
              <w:rPr>
                <w:rFonts w:ascii="宋体" w:hAnsi="宋体" w:cs="Arial"/>
                <w:color w:val="000000"/>
                <w:sz w:val="24"/>
                <w:szCs w:val="24"/>
              </w:rPr>
            </w:pPr>
            <w:r>
              <w:rPr>
                <w:rFonts w:ascii="宋体" w:hAnsi="宋体" w:cs="Arial"/>
                <w:color w:val="000000"/>
                <w:sz w:val="24"/>
                <w:szCs w:val="24"/>
              </w:rPr>
              <w:t>10.20%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5</w:t>
            </w:r>
          </w:p>
        </w:tc>
        <w:tc>
          <w:tcPr>
            <w:tcW w:w="4349" w:type="dxa"/>
            <w:vAlign w:val="center"/>
          </w:tcPr>
          <w:p>
            <w:pPr>
              <w:rPr>
                <w:rFonts w:ascii="宋体" w:hAnsi="宋体" w:cs="Arial"/>
                <w:color w:val="000000"/>
                <w:sz w:val="24"/>
                <w:szCs w:val="24"/>
              </w:rPr>
            </w:pPr>
            <w:r>
              <w:rPr>
                <w:rFonts w:hint="eastAsia" w:ascii="宋体" w:hAnsi="宋体" w:cs="Arial"/>
                <w:color w:val="000000"/>
                <w:sz w:val="24"/>
                <w:szCs w:val="24"/>
              </w:rPr>
              <w:t>19遵旅03</w:t>
            </w:r>
          </w:p>
        </w:tc>
        <w:tc>
          <w:tcPr>
            <w:tcW w:w="2138" w:type="dxa"/>
            <w:vAlign w:val="center"/>
          </w:tcPr>
          <w:p>
            <w:pPr>
              <w:jc w:val="right"/>
              <w:rPr>
                <w:rFonts w:ascii="宋体" w:hAnsi="宋体" w:cs="Arial"/>
                <w:color w:val="000000"/>
                <w:sz w:val="24"/>
                <w:szCs w:val="24"/>
              </w:rPr>
            </w:pPr>
            <w:r>
              <w:rPr>
                <w:rFonts w:ascii="宋体" w:hAnsi="宋体" w:cs="Arial"/>
                <w:color w:val="000000"/>
                <w:sz w:val="24"/>
                <w:szCs w:val="24"/>
              </w:rPr>
              <w:t xml:space="preserve">    40,030,183.56 </w:t>
            </w:r>
          </w:p>
        </w:tc>
        <w:tc>
          <w:tcPr>
            <w:tcW w:w="2113" w:type="dxa"/>
            <w:vAlign w:val="center"/>
          </w:tcPr>
          <w:p>
            <w:pPr>
              <w:jc w:val="right"/>
              <w:rPr>
                <w:rFonts w:ascii="宋体" w:hAnsi="宋体" w:cs="Arial"/>
                <w:color w:val="000000"/>
                <w:sz w:val="24"/>
                <w:szCs w:val="24"/>
              </w:rPr>
            </w:pPr>
            <w:r>
              <w:rPr>
                <w:rFonts w:ascii="宋体" w:hAnsi="宋体" w:cs="Arial"/>
                <w:color w:val="000000"/>
                <w:sz w:val="24"/>
                <w:szCs w:val="24"/>
              </w:rPr>
              <w:t>10.19%</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6</w:t>
            </w:r>
          </w:p>
        </w:tc>
        <w:tc>
          <w:tcPr>
            <w:tcW w:w="4349" w:type="dxa"/>
            <w:vAlign w:val="center"/>
          </w:tcPr>
          <w:p>
            <w:pPr>
              <w:rPr>
                <w:rFonts w:ascii="宋体" w:hAnsi="宋体" w:cs="Arial"/>
                <w:color w:val="000000"/>
                <w:sz w:val="24"/>
                <w:szCs w:val="24"/>
              </w:rPr>
            </w:pPr>
            <w:r>
              <w:rPr>
                <w:rFonts w:hint="eastAsia" w:ascii="宋体" w:hAnsi="宋体" w:cs="Arial"/>
                <w:color w:val="000000"/>
                <w:sz w:val="24"/>
                <w:szCs w:val="24"/>
              </w:rPr>
              <w:t>20安投债</w:t>
            </w:r>
          </w:p>
        </w:tc>
        <w:tc>
          <w:tcPr>
            <w:tcW w:w="2138" w:type="dxa"/>
            <w:vAlign w:val="center"/>
          </w:tcPr>
          <w:p>
            <w:pPr>
              <w:jc w:val="right"/>
              <w:rPr>
                <w:rFonts w:ascii="宋体" w:hAnsi="宋体" w:cs="Arial"/>
                <w:color w:val="000000"/>
                <w:sz w:val="24"/>
                <w:szCs w:val="24"/>
              </w:rPr>
            </w:pPr>
            <w:r>
              <w:rPr>
                <w:rFonts w:ascii="宋体" w:hAnsi="宋体" w:cs="Arial"/>
                <w:color w:val="000000"/>
                <w:sz w:val="24"/>
                <w:szCs w:val="24"/>
              </w:rPr>
              <w:t xml:space="preserve">    32,353,397.26 </w:t>
            </w:r>
          </w:p>
        </w:tc>
        <w:tc>
          <w:tcPr>
            <w:tcW w:w="2113" w:type="dxa"/>
            <w:vAlign w:val="center"/>
          </w:tcPr>
          <w:p>
            <w:pPr>
              <w:jc w:val="right"/>
              <w:rPr>
                <w:rFonts w:ascii="宋体" w:hAnsi="宋体" w:cs="Arial"/>
                <w:color w:val="000000"/>
                <w:sz w:val="24"/>
                <w:szCs w:val="24"/>
              </w:rPr>
            </w:pPr>
            <w:r>
              <w:rPr>
                <w:rFonts w:ascii="宋体" w:hAnsi="宋体" w:cs="Arial"/>
                <w:color w:val="000000"/>
                <w:sz w:val="24"/>
                <w:szCs w:val="24"/>
              </w:rPr>
              <w:t>8.24%</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7</w:t>
            </w:r>
          </w:p>
        </w:tc>
        <w:tc>
          <w:tcPr>
            <w:tcW w:w="4349" w:type="dxa"/>
            <w:vAlign w:val="center"/>
          </w:tcPr>
          <w:p>
            <w:pPr>
              <w:rPr>
                <w:rFonts w:ascii="宋体" w:hAnsi="宋体" w:cs="Arial"/>
                <w:color w:val="000000"/>
                <w:sz w:val="24"/>
                <w:szCs w:val="24"/>
              </w:rPr>
            </w:pPr>
            <w:r>
              <w:rPr>
                <w:rFonts w:hint="eastAsia" w:ascii="宋体" w:hAnsi="宋体" w:cs="Arial"/>
                <w:color w:val="000000"/>
                <w:sz w:val="24"/>
                <w:szCs w:val="24"/>
              </w:rPr>
              <w:t>16铜旅01</w:t>
            </w:r>
          </w:p>
        </w:tc>
        <w:tc>
          <w:tcPr>
            <w:tcW w:w="2138" w:type="dxa"/>
            <w:vAlign w:val="center"/>
          </w:tcPr>
          <w:p>
            <w:pPr>
              <w:jc w:val="right"/>
              <w:rPr>
                <w:rFonts w:ascii="宋体" w:hAnsi="宋体" w:cs="Arial"/>
                <w:color w:val="000000"/>
                <w:sz w:val="24"/>
                <w:szCs w:val="24"/>
              </w:rPr>
            </w:pPr>
            <w:r>
              <w:rPr>
                <w:rFonts w:ascii="宋体" w:hAnsi="宋体" w:cs="Arial"/>
                <w:color w:val="000000"/>
                <w:sz w:val="24"/>
                <w:szCs w:val="24"/>
              </w:rPr>
              <w:t xml:space="preserve">    26,729,780.82 </w:t>
            </w:r>
          </w:p>
        </w:tc>
        <w:tc>
          <w:tcPr>
            <w:tcW w:w="2113" w:type="dxa"/>
            <w:vAlign w:val="center"/>
          </w:tcPr>
          <w:p>
            <w:pPr>
              <w:jc w:val="right"/>
              <w:rPr>
                <w:rFonts w:ascii="宋体" w:hAnsi="宋体" w:cs="Arial"/>
                <w:color w:val="000000"/>
                <w:sz w:val="24"/>
                <w:szCs w:val="24"/>
              </w:rPr>
            </w:pPr>
            <w:r>
              <w:rPr>
                <w:rFonts w:ascii="宋体" w:hAnsi="宋体" w:cs="Arial"/>
                <w:color w:val="000000"/>
                <w:sz w:val="24"/>
                <w:szCs w:val="24"/>
              </w:rPr>
              <w:t>6.80%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8</w:t>
            </w:r>
          </w:p>
        </w:tc>
        <w:tc>
          <w:tcPr>
            <w:tcW w:w="4349" w:type="dxa"/>
            <w:vAlign w:val="center"/>
          </w:tcPr>
          <w:p>
            <w:pPr>
              <w:rPr>
                <w:rFonts w:ascii="宋体" w:hAnsi="宋体" w:cs="Arial"/>
                <w:color w:val="000000"/>
                <w:sz w:val="24"/>
                <w:szCs w:val="24"/>
              </w:rPr>
            </w:pPr>
            <w:r>
              <w:rPr>
                <w:rFonts w:hint="eastAsia" w:ascii="宋体" w:hAnsi="宋体" w:cs="Arial"/>
                <w:color w:val="000000"/>
                <w:sz w:val="24"/>
                <w:szCs w:val="24"/>
              </w:rPr>
              <w:t>19遵投A3</w:t>
            </w:r>
          </w:p>
        </w:tc>
        <w:tc>
          <w:tcPr>
            <w:tcW w:w="2138" w:type="dxa"/>
            <w:vAlign w:val="center"/>
          </w:tcPr>
          <w:p>
            <w:pPr>
              <w:jc w:val="right"/>
              <w:rPr>
                <w:rFonts w:ascii="宋体" w:hAnsi="宋体" w:cs="Arial"/>
                <w:color w:val="000000"/>
                <w:sz w:val="24"/>
                <w:szCs w:val="24"/>
              </w:rPr>
            </w:pPr>
            <w:r>
              <w:rPr>
                <w:rFonts w:ascii="宋体" w:hAnsi="宋体" w:cs="Arial"/>
                <w:color w:val="000000"/>
                <w:sz w:val="24"/>
                <w:szCs w:val="24"/>
              </w:rPr>
              <w:t xml:space="preserve">    23,225,711.92 </w:t>
            </w:r>
          </w:p>
        </w:tc>
        <w:tc>
          <w:tcPr>
            <w:tcW w:w="2113" w:type="dxa"/>
            <w:vAlign w:val="center"/>
          </w:tcPr>
          <w:p>
            <w:pPr>
              <w:jc w:val="right"/>
              <w:rPr>
                <w:rFonts w:ascii="宋体" w:hAnsi="宋体" w:cs="Arial"/>
                <w:color w:val="000000"/>
                <w:sz w:val="24"/>
                <w:szCs w:val="24"/>
              </w:rPr>
            </w:pPr>
            <w:r>
              <w:rPr>
                <w:rFonts w:ascii="宋体" w:hAnsi="宋体" w:cs="Arial"/>
                <w:color w:val="000000"/>
                <w:sz w:val="24"/>
                <w:szCs w:val="24"/>
              </w:rPr>
              <w:t>5.91%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9</w:t>
            </w:r>
          </w:p>
        </w:tc>
        <w:tc>
          <w:tcPr>
            <w:tcW w:w="4349" w:type="dxa"/>
            <w:vAlign w:val="center"/>
          </w:tcPr>
          <w:p>
            <w:pPr>
              <w:rPr>
                <w:rFonts w:ascii="宋体" w:hAnsi="宋体" w:cs="Arial"/>
                <w:color w:val="000000"/>
                <w:sz w:val="24"/>
                <w:szCs w:val="24"/>
              </w:rPr>
            </w:pPr>
            <w:r>
              <w:rPr>
                <w:rFonts w:hint="eastAsia" w:ascii="宋体" w:hAnsi="宋体" w:cs="Arial"/>
                <w:color w:val="000000"/>
                <w:sz w:val="24"/>
                <w:szCs w:val="24"/>
              </w:rPr>
              <w:t>20铜仁01</w:t>
            </w:r>
          </w:p>
        </w:tc>
        <w:tc>
          <w:tcPr>
            <w:tcW w:w="2138" w:type="dxa"/>
            <w:vAlign w:val="center"/>
          </w:tcPr>
          <w:p>
            <w:pPr>
              <w:jc w:val="right"/>
              <w:rPr>
                <w:rFonts w:ascii="宋体" w:hAnsi="宋体" w:cs="Arial"/>
                <w:color w:val="000000"/>
                <w:sz w:val="24"/>
                <w:szCs w:val="24"/>
              </w:rPr>
            </w:pPr>
            <w:r>
              <w:rPr>
                <w:rFonts w:ascii="宋体" w:hAnsi="宋体" w:cs="Arial"/>
                <w:color w:val="000000"/>
                <w:sz w:val="24"/>
                <w:szCs w:val="24"/>
              </w:rPr>
              <w:t xml:space="preserve">    14,976,162.33 </w:t>
            </w:r>
          </w:p>
        </w:tc>
        <w:tc>
          <w:tcPr>
            <w:tcW w:w="2113" w:type="dxa"/>
            <w:vAlign w:val="center"/>
          </w:tcPr>
          <w:p>
            <w:pPr>
              <w:jc w:val="right"/>
              <w:rPr>
                <w:rFonts w:ascii="宋体" w:hAnsi="宋体" w:cs="Arial"/>
                <w:color w:val="000000"/>
                <w:sz w:val="24"/>
                <w:szCs w:val="24"/>
              </w:rPr>
            </w:pPr>
            <w:r>
              <w:rPr>
                <w:rFonts w:ascii="宋体" w:hAnsi="宋体" w:cs="Arial"/>
                <w:color w:val="000000"/>
                <w:sz w:val="24"/>
                <w:szCs w:val="24"/>
              </w:rPr>
              <w:t>3.81%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10</w:t>
            </w:r>
          </w:p>
        </w:tc>
        <w:tc>
          <w:tcPr>
            <w:tcW w:w="4349" w:type="dxa"/>
            <w:vAlign w:val="center"/>
          </w:tcPr>
          <w:p>
            <w:pPr>
              <w:rPr>
                <w:rFonts w:ascii="宋体" w:hAnsi="宋体" w:cs="Arial"/>
                <w:color w:val="000000"/>
                <w:sz w:val="24"/>
                <w:szCs w:val="24"/>
              </w:rPr>
            </w:pPr>
            <w:r>
              <w:rPr>
                <w:rFonts w:hint="eastAsia" w:ascii="宋体" w:hAnsi="宋体" w:cs="Arial"/>
                <w:color w:val="000000"/>
                <w:sz w:val="24"/>
                <w:szCs w:val="24"/>
              </w:rPr>
              <w:t>S20播交1</w:t>
            </w:r>
          </w:p>
        </w:tc>
        <w:tc>
          <w:tcPr>
            <w:tcW w:w="2138" w:type="dxa"/>
            <w:vAlign w:val="center"/>
          </w:tcPr>
          <w:p>
            <w:pPr>
              <w:jc w:val="right"/>
              <w:rPr>
                <w:rFonts w:ascii="宋体" w:hAnsi="宋体" w:cs="Arial"/>
                <w:color w:val="000000"/>
                <w:sz w:val="24"/>
                <w:szCs w:val="24"/>
              </w:rPr>
            </w:pPr>
            <w:r>
              <w:rPr>
                <w:rFonts w:ascii="宋体" w:hAnsi="宋体" w:cs="Arial"/>
                <w:color w:val="000000"/>
                <w:sz w:val="24"/>
                <w:szCs w:val="24"/>
              </w:rPr>
              <w:t xml:space="preserve">    12,417,978.08 </w:t>
            </w:r>
          </w:p>
        </w:tc>
        <w:tc>
          <w:tcPr>
            <w:tcW w:w="2113" w:type="dxa"/>
            <w:vAlign w:val="center"/>
          </w:tcPr>
          <w:p>
            <w:pPr>
              <w:jc w:val="right"/>
              <w:rPr>
                <w:rFonts w:ascii="宋体" w:hAnsi="宋体" w:cs="Arial"/>
                <w:color w:val="000000"/>
                <w:sz w:val="24"/>
                <w:szCs w:val="24"/>
              </w:rPr>
            </w:pPr>
            <w:r>
              <w:rPr>
                <w:rFonts w:ascii="宋体" w:hAnsi="宋体" w:cs="Arial"/>
                <w:color w:val="000000"/>
                <w:sz w:val="24"/>
                <w:szCs w:val="24"/>
              </w:rPr>
              <w:t>3.16%</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c>
          <w:tcPr>
            <w:tcW w:w="592" w:type="dxa"/>
            <w:vAlign w:val="center"/>
          </w:tcPr>
          <w:p>
            <w:pPr>
              <w:widowControl/>
              <w:jc w:val="left"/>
              <w:rPr>
                <w:rFonts w:ascii="宋体" w:hAnsi="宋体" w:cs="宋体"/>
                <w:kern w:val="0"/>
                <w:sz w:val="24"/>
                <w:szCs w:val="24"/>
              </w:rPr>
            </w:pPr>
            <w:r>
              <w:rPr>
                <w:rFonts w:ascii="宋体" w:hAnsi="宋体" w:cs="宋体"/>
                <w:kern w:val="0"/>
                <w:sz w:val="24"/>
                <w:szCs w:val="24"/>
              </w:rPr>
              <w:t>11</w:t>
            </w:r>
          </w:p>
        </w:tc>
        <w:tc>
          <w:tcPr>
            <w:tcW w:w="4349" w:type="dxa"/>
            <w:vAlign w:val="center"/>
          </w:tcPr>
          <w:p>
            <w:pPr>
              <w:widowControl/>
              <w:jc w:val="left"/>
              <w:rPr>
                <w:rFonts w:ascii="宋体" w:cs="宋体"/>
                <w:kern w:val="0"/>
                <w:sz w:val="24"/>
                <w:szCs w:val="24"/>
              </w:rPr>
            </w:pPr>
            <w:r>
              <w:rPr>
                <w:rFonts w:hint="eastAsia" w:ascii="宋体" w:hAnsi="宋体" w:cs="宋体"/>
                <w:kern w:val="0"/>
                <w:sz w:val="24"/>
                <w:szCs w:val="24"/>
              </w:rPr>
              <w:t>合计</w:t>
            </w:r>
          </w:p>
        </w:tc>
        <w:tc>
          <w:tcPr>
            <w:tcW w:w="2138" w:type="dxa"/>
            <w:vAlign w:val="center"/>
          </w:tcPr>
          <w:p>
            <w:pPr>
              <w:widowControl/>
              <w:jc w:val="right"/>
              <w:rPr>
                <w:rFonts w:ascii="宋体" w:hAnsi="宋体" w:cs="宋体"/>
                <w:kern w:val="0"/>
                <w:sz w:val="24"/>
                <w:szCs w:val="24"/>
              </w:rPr>
            </w:pPr>
            <w:r>
              <w:rPr>
                <w:rFonts w:hint="eastAsia" w:ascii="宋体" w:hAnsi="宋体" w:cs="宋体"/>
                <w:kern w:val="0"/>
                <w:sz w:val="24"/>
                <w:szCs w:val="24"/>
              </w:rPr>
              <w:t>358,387,072.74</w:t>
            </w:r>
            <w:r>
              <w:rPr>
                <w:rFonts w:ascii="宋体" w:hAnsi="宋体" w:cs="宋体"/>
                <w:kern w:val="0"/>
                <w:sz w:val="24"/>
                <w:szCs w:val="24"/>
              </w:rPr>
              <w:t xml:space="preserve">   </w:t>
            </w:r>
          </w:p>
        </w:tc>
        <w:tc>
          <w:tcPr>
            <w:tcW w:w="2113" w:type="dxa"/>
            <w:vAlign w:val="center"/>
          </w:tcPr>
          <w:p>
            <w:pPr>
              <w:widowControl/>
              <w:jc w:val="right"/>
              <w:rPr>
                <w:rFonts w:ascii="宋体" w:hAnsi="宋体" w:cs="宋体"/>
                <w:kern w:val="0"/>
                <w:sz w:val="24"/>
                <w:szCs w:val="24"/>
              </w:rPr>
            </w:pPr>
            <w:r>
              <w:rPr>
                <w:rFonts w:hint="eastAsia" w:ascii="宋体" w:hAnsi="宋体" w:cs="宋体"/>
                <w:kern w:val="0"/>
                <w:sz w:val="24"/>
                <w:szCs w:val="24"/>
              </w:rPr>
              <w:t>91.22</w:t>
            </w:r>
            <w:r>
              <w:rPr>
                <w:rFonts w:ascii="宋体" w:hAnsi="宋体" w:cs="宋体"/>
                <w:kern w:val="0"/>
                <w:sz w:val="24"/>
                <w:szCs w:val="24"/>
              </w:rPr>
              <w:t>%</w:t>
            </w:r>
          </w:p>
        </w:tc>
      </w:tr>
    </w:tbl>
    <w:p>
      <w:pPr>
        <w:spacing w:beforeLines="50" w:afterLines="50" w:line="360" w:lineRule="auto"/>
        <w:rPr>
          <w:rFonts w:ascii="宋体" w:cs="宋体"/>
          <w:kern w:val="0"/>
          <w:sz w:val="24"/>
          <w:szCs w:val="24"/>
        </w:rPr>
      </w:pPr>
      <w:r>
        <w:rPr>
          <w:rFonts w:ascii="宋体" w:cs="宋体"/>
          <w:kern w:val="0"/>
          <w:sz w:val="24"/>
          <w:szCs w:val="24"/>
        </w:rPr>
        <w:tab/>
      </w:r>
      <w:r>
        <w:rPr>
          <w:rFonts w:hint="eastAsia" w:ascii="仿宋" w:hAnsi="仿宋" w:eastAsia="仿宋"/>
          <w:szCs w:val="20"/>
        </w:rPr>
        <w:t>注：由于四舍五入原因，各分项占资产总值的比例之和与合计可能存在尾差。</w:t>
      </w:r>
    </w:p>
    <w:p>
      <w:pPr>
        <w:widowControl/>
        <w:jc w:val="left"/>
        <w:rPr>
          <w:rFonts w:ascii="宋体" w:cs="宋体"/>
          <w:kern w:val="0"/>
          <w:sz w:val="24"/>
          <w:szCs w:val="24"/>
        </w:rPr>
      </w:pPr>
    </w:p>
    <w:p>
      <w:pPr>
        <w:widowControl/>
        <w:jc w:val="left"/>
        <w:rPr>
          <w:rFonts w:ascii="宋体" w:cs="宋体"/>
          <w:b/>
          <w:kern w:val="0"/>
          <w:sz w:val="24"/>
          <w:szCs w:val="24"/>
        </w:rPr>
      </w:pPr>
      <w:r>
        <w:rPr>
          <w:rFonts w:ascii="宋体" w:hAnsi="宋体" w:cs="宋体"/>
          <w:b/>
          <w:kern w:val="0"/>
          <w:sz w:val="24"/>
          <w:szCs w:val="24"/>
        </w:rPr>
        <w:t>5.3</w:t>
      </w:r>
      <w:r>
        <w:rPr>
          <w:rFonts w:hint="eastAsia" w:ascii="宋体" w:hAnsi="宋体" w:cs="宋体"/>
          <w:b/>
          <w:kern w:val="0"/>
          <w:sz w:val="24"/>
          <w:szCs w:val="24"/>
        </w:rPr>
        <w:t>所投资非标准化债权类资产情况</w:t>
      </w:r>
    </w:p>
    <w:p>
      <w:pPr>
        <w:widowControl/>
        <w:jc w:val="left"/>
        <w:rPr>
          <w:rFonts w:ascii="宋体" w:hAnsi="宋体" w:cs="宋体"/>
          <w:kern w:val="0"/>
          <w:sz w:val="24"/>
          <w:szCs w:val="24"/>
        </w:rPr>
      </w:pPr>
      <w:r>
        <w:rPr>
          <w:rFonts w:ascii="宋体" w:cs="宋体"/>
          <w:kern w:val="0"/>
          <w:sz w:val="24"/>
          <w:szCs w:val="24"/>
        </w:rPr>
        <w:tab/>
      </w:r>
      <w:r>
        <w:rPr>
          <w:rFonts w:hint="eastAsia" w:ascii="宋体" w:hAnsi="宋体" w:cs="宋体"/>
          <w:kern w:val="0"/>
          <w:sz w:val="24"/>
          <w:szCs w:val="24"/>
        </w:rPr>
        <w:t>本报告期内，本理财计划未投资非标准化债权类资产。</w:t>
      </w:r>
      <w:r>
        <w:rPr>
          <w:rFonts w:ascii="宋体" w:hAnsi="宋体" w:cs="宋体"/>
          <w:kern w:val="0"/>
          <w:sz w:val="24"/>
          <w:szCs w:val="24"/>
        </w:rPr>
        <w:t xml:space="preserve"> </w:t>
      </w:r>
    </w:p>
    <w:p>
      <w:pPr>
        <w:widowControl/>
        <w:jc w:val="left"/>
        <w:rPr>
          <w:rFonts w:ascii="宋体" w:cs="宋体"/>
          <w:kern w:val="0"/>
          <w:sz w:val="24"/>
          <w:szCs w:val="24"/>
        </w:rPr>
      </w:pPr>
    </w:p>
    <w:p>
      <w:pPr>
        <w:widowControl/>
        <w:jc w:val="left"/>
        <w:rPr>
          <w:rFonts w:ascii="宋体" w:cs="宋体"/>
          <w:b/>
          <w:kern w:val="0"/>
          <w:sz w:val="24"/>
          <w:szCs w:val="24"/>
        </w:rPr>
      </w:pPr>
      <w:r>
        <w:rPr>
          <w:rFonts w:ascii="宋体" w:hAnsi="宋体" w:cs="宋体"/>
          <w:b/>
          <w:kern w:val="0"/>
          <w:sz w:val="24"/>
          <w:szCs w:val="24"/>
        </w:rPr>
        <w:t>5.4</w:t>
      </w:r>
      <w:r>
        <w:rPr>
          <w:rFonts w:hint="eastAsia" w:ascii="宋体" w:hAnsi="宋体" w:cs="宋体"/>
          <w:b/>
          <w:kern w:val="0"/>
          <w:sz w:val="24"/>
          <w:szCs w:val="24"/>
        </w:rPr>
        <w:t>投资组合的流动性风险分析</w:t>
      </w:r>
    </w:p>
    <w:p>
      <w:pPr>
        <w:widowControl/>
        <w:spacing w:after="240"/>
        <w:jc w:val="left"/>
        <w:rPr>
          <w:rFonts w:ascii="宋体" w:cs="宋体"/>
          <w:kern w:val="0"/>
          <w:sz w:val="24"/>
          <w:szCs w:val="24"/>
        </w:rPr>
      </w:pPr>
    </w:p>
    <w:p>
      <w:pPr>
        <w:widowControl/>
        <w:jc w:val="left"/>
        <w:rPr>
          <w:rFonts w:ascii="宋体" w:cs="宋体"/>
          <w:kern w:val="0"/>
          <w:sz w:val="24"/>
          <w:szCs w:val="24"/>
        </w:rPr>
      </w:pPr>
    </w:p>
    <w:p>
      <w:pPr>
        <w:widowControl/>
        <w:jc w:val="left"/>
        <w:rPr>
          <w:rFonts w:ascii="宋体" w:cs="宋体"/>
          <w:kern w:val="0"/>
          <w:sz w:val="24"/>
          <w:szCs w:val="24"/>
        </w:rPr>
      </w:pPr>
    </w:p>
    <w:p>
      <w:pPr>
        <w:widowControl/>
        <w:jc w:val="left"/>
        <w:rPr>
          <w:rFonts w:ascii="宋体" w:cs="宋体"/>
          <w:kern w:val="0"/>
          <w:sz w:val="24"/>
          <w:szCs w:val="24"/>
        </w:rPr>
      </w:pPr>
    </w:p>
    <w:p>
      <w:pPr>
        <w:widowControl/>
        <w:jc w:val="left"/>
        <w:rPr>
          <w:rFonts w:ascii="宋体" w:cs="宋体"/>
          <w:kern w:val="0"/>
          <w:sz w:val="24"/>
          <w:szCs w:val="24"/>
        </w:rPr>
      </w:pPr>
    </w:p>
    <w:p>
      <w:pPr>
        <w:widowControl/>
        <w:spacing w:after="240"/>
        <w:jc w:val="center"/>
        <w:rPr>
          <w:rFonts w:ascii="宋体" w:cs="宋体"/>
          <w:kern w:val="0"/>
          <w:sz w:val="24"/>
          <w:szCs w:val="24"/>
        </w:rPr>
      </w:pPr>
      <w:r>
        <w:rPr>
          <w:rFonts w:hint="eastAsia" w:ascii="宋体" w:hAnsi="宋体" w:cs="宋体"/>
          <w:b/>
          <w:kern w:val="0"/>
          <w:sz w:val="24"/>
          <w:szCs w:val="24"/>
        </w:rPr>
        <w:t>§</w:t>
      </w:r>
      <w:r>
        <w:rPr>
          <w:rFonts w:ascii="宋体" w:hAnsi="宋体" w:cs="宋体"/>
          <w:b/>
          <w:kern w:val="0"/>
          <w:sz w:val="24"/>
          <w:szCs w:val="24"/>
        </w:rPr>
        <w:t xml:space="preserve">6 </w:t>
      </w:r>
      <w:r>
        <w:rPr>
          <w:rFonts w:hint="eastAsia" w:ascii="宋体" w:hAnsi="宋体" w:cs="宋体"/>
          <w:b/>
          <w:kern w:val="0"/>
          <w:sz w:val="24"/>
          <w:szCs w:val="24"/>
        </w:rPr>
        <w:t>关联交易情况说明</w:t>
      </w:r>
    </w:p>
    <w:p>
      <w:pPr>
        <w:widowControl/>
        <w:spacing w:after="240"/>
        <w:jc w:val="left"/>
        <w:rPr>
          <w:rFonts w:ascii="宋体" w:cs="宋体"/>
          <w:kern w:val="0"/>
          <w:sz w:val="24"/>
          <w:szCs w:val="24"/>
        </w:rPr>
      </w:pPr>
      <w:r>
        <w:rPr>
          <w:rFonts w:ascii="宋体" w:cs="宋体"/>
          <w:kern w:val="0"/>
          <w:sz w:val="24"/>
          <w:szCs w:val="24"/>
        </w:rPr>
        <w:tab/>
      </w:r>
      <w:r>
        <w:rPr>
          <w:rFonts w:hint="eastAsia" w:ascii="宋体" w:hAnsi="宋体" w:cs="宋体"/>
          <w:kern w:val="0"/>
          <w:sz w:val="24"/>
          <w:szCs w:val="24"/>
        </w:rPr>
        <w:t>本报告期内，本计划未发生关联交易。</w:t>
      </w:r>
    </w:p>
    <w:p>
      <w:pPr>
        <w:widowControl/>
        <w:spacing w:after="240"/>
        <w:jc w:val="left"/>
        <w:rPr>
          <w:rFonts w:ascii="宋体" w:cs="宋体"/>
          <w:kern w:val="0"/>
          <w:sz w:val="24"/>
          <w:szCs w:val="24"/>
        </w:rPr>
      </w:pPr>
    </w:p>
    <w:p>
      <w:pPr>
        <w:widowControl/>
        <w:spacing w:after="240"/>
        <w:jc w:val="center"/>
        <w:rPr>
          <w:rFonts w:ascii="宋体" w:cs="宋体"/>
          <w:kern w:val="0"/>
          <w:sz w:val="24"/>
          <w:szCs w:val="24"/>
        </w:rPr>
      </w:pPr>
      <w:r>
        <w:rPr>
          <w:rFonts w:hint="eastAsia" w:ascii="宋体" w:hAnsi="宋体" w:cs="宋体"/>
          <w:b/>
          <w:kern w:val="0"/>
          <w:sz w:val="24"/>
          <w:szCs w:val="24"/>
        </w:rPr>
        <w:t>§</w:t>
      </w:r>
      <w:r>
        <w:rPr>
          <w:rFonts w:ascii="宋体" w:hAnsi="宋体" w:cs="宋体"/>
          <w:b/>
          <w:kern w:val="0"/>
          <w:sz w:val="24"/>
          <w:szCs w:val="24"/>
        </w:rPr>
        <w:t xml:space="preserve">7 </w:t>
      </w:r>
      <w:r>
        <w:rPr>
          <w:rFonts w:hint="eastAsia" w:ascii="宋体" w:hAnsi="宋体" w:cs="宋体"/>
          <w:b/>
          <w:kern w:val="0"/>
          <w:sz w:val="24"/>
          <w:szCs w:val="24"/>
        </w:rPr>
        <w:t>影响投资者决策的其他重要信息</w:t>
      </w:r>
    </w:p>
    <w:p>
      <w:pPr>
        <w:widowControl/>
        <w:spacing w:after="240"/>
        <w:jc w:val="left"/>
        <w:rPr>
          <w:rFonts w:ascii="宋体" w:cs="宋体"/>
          <w:kern w:val="0"/>
          <w:sz w:val="24"/>
          <w:szCs w:val="24"/>
        </w:rPr>
      </w:pPr>
      <w:r>
        <w:rPr>
          <w:rFonts w:ascii="宋体" w:hAnsi="宋体" w:cs="宋体"/>
          <w:kern w:val="0"/>
          <w:sz w:val="24"/>
          <w:szCs w:val="24"/>
        </w:rPr>
        <w:t xml:space="preserve">7.1 </w:t>
      </w:r>
      <w:r>
        <w:rPr>
          <w:rFonts w:hint="eastAsia" w:ascii="宋体" w:hAnsi="宋体" w:cs="宋体"/>
          <w:kern w:val="0"/>
          <w:sz w:val="24"/>
          <w:szCs w:val="24"/>
        </w:rPr>
        <w:t>影响投资者决策的其他重要信息</w:t>
      </w:r>
    </w:p>
    <w:p>
      <w:pPr>
        <w:widowControl/>
        <w:spacing w:after="240"/>
        <w:jc w:val="left"/>
        <w:rPr>
          <w:rFonts w:ascii="宋体" w:cs="宋体"/>
          <w:kern w:val="0"/>
          <w:sz w:val="24"/>
          <w:szCs w:val="24"/>
        </w:rPr>
      </w:pPr>
      <w:r>
        <w:rPr>
          <w:rFonts w:hint="eastAsia" w:ascii="宋体" w:hAnsi="宋体" w:cs="宋体"/>
          <w:kern w:val="0"/>
          <w:sz w:val="24"/>
          <w:szCs w:val="24"/>
        </w:rPr>
        <w:t>无。</w:t>
      </w:r>
    </w:p>
    <w:p>
      <w:pPr>
        <w:widowControl/>
        <w:spacing w:after="240"/>
        <w:jc w:val="left"/>
        <w:rPr>
          <w:rFonts w:ascii="宋体" w:cs="宋体"/>
          <w:kern w:val="0"/>
          <w:sz w:val="24"/>
          <w:szCs w:val="24"/>
        </w:rPr>
      </w:pPr>
    </w:p>
    <w:p>
      <w:pPr>
        <w:widowControl/>
        <w:spacing w:after="240"/>
        <w:jc w:val="left"/>
        <w:rPr>
          <w:rFonts w:ascii="宋体" w:cs="宋体"/>
          <w:kern w:val="0"/>
          <w:sz w:val="24"/>
          <w:szCs w:val="24"/>
        </w:rPr>
      </w:pPr>
      <w:r>
        <w:rPr>
          <w:rFonts w:ascii="宋体" w:hAnsi="宋体" w:cs="宋体"/>
          <w:kern w:val="0"/>
          <w:sz w:val="24"/>
          <w:szCs w:val="24"/>
        </w:rPr>
        <w:t>7.2</w:t>
      </w:r>
      <w:r>
        <w:rPr>
          <w:rFonts w:hint="eastAsia" w:ascii="宋体" w:hAnsi="宋体" w:cs="宋体"/>
          <w:kern w:val="0"/>
          <w:sz w:val="24"/>
          <w:szCs w:val="24"/>
        </w:rPr>
        <w:t>其他事项。</w:t>
      </w:r>
    </w:p>
    <w:p>
      <w:pPr>
        <w:widowControl/>
        <w:spacing w:after="240"/>
        <w:jc w:val="left"/>
        <w:rPr>
          <w:rFonts w:ascii="宋体" w:cs="宋体"/>
          <w:kern w:val="0"/>
          <w:sz w:val="24"/>
          <w:szCs w:val="24"/>
        </w:rPr>
      </w:pPr>
      <w:r>
        <w:rPr>
          <w:rFonts w:hint="eastAsia" w:ascii="宋体" w:hAnsi="宋体" w:cs="宋体"/>
          <w:kern w:val="0"/>
          <w:sz w:val="24"/>
          <w:szCs w:val="24"/>
        </w:rPr>
        <w:t>无。</w:t>
      </w:r>
    </w:p>
    <w:p>
      <w:pPr>
        <w:widowControl/>
        <w:spacing w:after="240"/>
        <w:jc w:val="left"/>
        <w:rPr>
          <w:rFonts w:ascii="宋体" w:cs="宋体"/>
          <w:kern w:val="0"/>
          <w:sz w:val="24"/>
          <w:szCs w:val="24"/>
        </w:rPr>
      </w:pPr>
    </w:p>
    <w:p>
      <w:pPr>
        <w:widowControl/>
        <w:spacing w:after="240"/>
        <w:jc w:val="left"/>
        <w:rPr>
          <w:rFonts w:ascii="宋体" w:hAnsi="宋体" w:cs="宋体"/>
          <w:kern w:val="0"/>
          <w:sz w:val="24"/>
          <w:szCs w:val="24"/>
        </w:rPr>
      </w:pPr>
      <w:r>
        <w:rPr>
          <w:rFonts w:hint="eastAsia" w:ascii="宋体" w:hAnsi="宋体" w:cs="宋体"/>
          <w:kern w:val="0"/>
          <w:sz w:val="24"/>
          <w:szCs w:val="24"/>
        </w:rPr>
        <w:t>查阅方式网站：</w:t>
      </w:r>
      <w:r>
        <w:rPr>
          <w:rFonts w:ascii="宋体" w:hAnsi="宋体" w:cs="宋体"/>
          <w:kern w:val="0"/>
          <w:sz w:val="24"/>
          <w:szCs w:val="24"/>
        </w:rPr>
        <w:t>http://www.gynsh.com</w:t>
      </w:r>
      <w:r>
        <w:rPr>
          <w:rFonts w:hint="eastAsia" w:ascii="宋体" w:hAnsi="宋体" w:cs="宋体"/>
          <w:kern w:val="0"/>
          <w:sz w:val="24"/>
          <w:szCs w:val="24"/>
        </w:rPr>
        <w:t>咨询电话：</w:t>
      </w:r>
      <w:r>
        <w:rPr>
          <w:rFonts w:ascii="宋体" w:hAnsi="宋体" w:cs="宋体"/>
          <w:kern w:val="0"/>
          <w:sz w:val="24"/>
          <w:szCs w:val="24"/>
        </w:rPr>
        <w:t>0851-</w:t>
      </w:r>
      <w:r>
        <w:rPr>
          <w:rFonts w:hint="eastAsia" w:ascii="宋体" w:hAnsi="宋体" w:cs="宋体"/>
          <w:kern w:val="0"/>
          <w:sz w:val="24"/>
          <w:szCs w:val="24"/>
        </w:rPr>
        <w:t>88115057</w:t>
      </w:r>
    </w:p>
    <w:p>
      <w:pPr>
        <w:widowControl/>
        <w:spacing w:after="240"/>
        <w:jc w:val="left"/>
        <w:rPr>
          <w:rFonts w:hint="eastAsia" w:ascii="宋体" w:hAnsi="宋体" w:cs="宋体"/>
          <w:kern w:val="0"/>
          <w:sz w:val="24"/>
          <w:szCs w:val="24"/>
        </w:rPr>
      </w:pPr>
    </w:p>
    <w:p>
      <w:pPr>
        <w:pStyle w:val="17"/>
        <w:rPr>
          <w:rFonts w:hint="eastAsia"/>
        </w:rPr>
      </w:pPr>
      <w:r>
        <w:rPr>
          <w:rFonts w:hint="eastAsia" w:hAnsi="Calibri"/>
          <w:b/>
          <w:bCs/>
          <w:color w:val="000000"/>
        </w:rPr>
        <w:t>贵阳农村商业银行股份有限公司</w:t>
      </w:r>
    </w:p>
    <w:p>
      <w:pPr>
        <w:pStyle w:val="17"/>
        <w:rPr>
          <w:rFonts w:hint="eastAsia"/>
        </w:rPr>
      </w:pPr>
      <w:r>
        <w:rPr>
          <w:rFonts w:hint="eastAsia" w:hAnsi="Calibri"/>
          <w:b/>
          <w:bCs/>
          <w:color w:val="000000"/>
        </w:rPr>
        <w:t>202</w:t>
      </w:r>
      <w:r>
        <w:rPr>
          <w:rFonts w:hint="eastAsia" w:hAnsi="Calibri"/>
          <w:b/>
          <w:bCs/>
          <w:color w:val="000000"/>
          <w:lang w:val="en-US" w:eastAsia="zh-CN"/>
        </w:rPr>
        <w:t>0</w:t>
      </w:r>
      <w:r>
        <w:rPr>
          <w:rFonts w:hint="eastAsia" w:hAnsi="Calibri"/>
          <w:b/>
          <w:bCs/>
          <w:color w:val="000000"/>
        </w:rPr>
        <w:t>年</w:t>
      </w:r>
      <w:r>
        <w:rPr>
          <w:rFonts w:hint="eastAsia" w:hAnsi="Calibri"/>
          <w:b/>
          <w:bCs/>
          <w:color w:val="000000"/>
          <w:lang w:val="en-US" w:eastAsia="zh-CN"/>
        </w:rPr>
        <w:t>12</w:t>
      </w:r>
      <w:r>
        <w:rPr>
          <w:rFonts w:hint="eastAsia" w:hAnsi="Calibri"/>
          <w:b/>
          <w:bCs/>
          <w:color w:val="000000"/>
        </w:rPr>
        <w:t>月</w:t>
      </w:r>
      <w:r>
        <w:rPr>
          <w:rFonts w:hint="eastAsia" w:hAnsi="Calibri"/>
          <w:b/>
          <w:bCs/>
          <w:color w:val="000000"/>
          <w:lang w:val="en-US" w:eastAsia="zh-CN"/>
        </w:rPr>
        <w:t>31</w:t>
      </w:r>
      <w:bookmarkStart w:id="0" w:name="_GoBack"/>
      <w:bookmarkEnd w:id="0"/>
      <w:r>
        <w:rPr>
          <w:rFonts w:hint="eastAsia" w:hAnsi="Calibri"/>
          <w:b/>
          <w:bCs/>
          <w:color w:val="000000"/>
        </w:rPr>
        <w:t>日</w:t>
      </w:r>
    </w:p>
    <w:sectPr>
      <w:headerReference r:id="rId3" w:type="default"/>
      <w:footerReference r:id="rId4" w:type="default"/>
      <w:footerReference r:id="rId5" w:type="even"/>
      <w:pgSz w:w="11926" w:h="16867"/>
      <w:pgMar w:top="1418" w:right="1418" w:bottom="853" w:left="1418" w:header="851" w:footer="992" w:gutter="0"/>
      <w:cols w:space="425"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jc w:val="center"/>
      <w:rPr>
        <w:rStyle w:val="6"/>
      </w:rPr>
    </w:pPr>
    <w:r>
      <w:rPr>
        <w:rStyle w:val="6"/>
      </w:rPr>
      <w:fldChar w:fldCharType="begin"/>
    </w:r>
    <w:r>
      <w:rPr>
        <w:rStyle w:val="6"/>
      </w:rPr>
      <w:instrText xml:space="preserve">PAGE  </w:instrText>
    </w:r>
    <w:r>
      <w:rPr>
        <w:rStyle w:val="6"/>
      </w:rPr>
      <w:fldChar w:fldCharType="separate"/>
    </w:r>
    <w:r>
      <w:rPr>
        <w:rStyle w:val="6"/>
      </w:rPr>
      <w:t>2</w:t>
    </w:r>
    <w:r>
      <w:rPr>
        <w:rStyle w:val="6"/>
      </w:rP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p>
    <w:pPr>
      <w:pStyle w:val="3"/>
      <w:jc w:val="right"/>
    </w:pPr>
    <w:r>
      <w:rPr>
        <w:rFonts w:hint="eastAsia"/>
      </w:rPr>
      <w:t>贵阳农商行超值宝私享第12期净值型理财产品2020年第4季度报告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compressPunctuation"/>
  <w:compat>
    <w:useFELayout/>
    <w:compatSetting w:name="compatibilityMode" w:uri="http://schemas.microsoft.com/office/word" w:val="12"/>
  </w:compat>
  <w:rsids>
    <w:rsidRoot w:val="00BC491C"/>
    <w:rsid w:val="00015CAF"/>
    <w:rsid w:val="00313BD0"/>
    <w:rsid w:val="006C2D48"/>
    <w:rsid w:val="00771902"/>
    <w:rsid w:val="00980C0B"/>
    <w:rsid w:val="00BC491C"/>
    <w:rsid w:val="00EA19B0"/>
    <w:rsid w:val="1E440A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semiHidden/>
    <w:unhideWhenUsed/>
    <w:qFormat/>
    <w:uiPriority w:val="99"/>
    <w:pPr>
      <w:tabs>
        <w:tab w:val="center" w:pos="4153"/>
        <w:tab w:val="right" w:pos="8306"/>
      </w:tabs>
      <w:snapToGrid w:val="0"/>
      <w:jc w:val="left"/>
    </w:pPr>
    <w:rPr>
      <w:sz w:val="18"/>
      <w:szCs w:val="18"/>
    </w:rPr>
  </w:style>
  <w:style w:type="paragraph" w:styleId="3">
    <w:name w:val="header"/>
    <w:basedOn w:val="1"/>
    <w:link w:val="9"/>
    <w:semiHidden/>
    <w:unhideWhenUsed/>
    <w:uiPriority w:val="99"/>
    <w:pPr>
      <w:pBdr>
        <w:bottom w:val="single" w:color="auto" w:sz="6" w:space="1"/>
      </w:pBdr>
      <w:tabs>
        <w:tab w:val="center" w:pos="4153"/>
        <w:tab w:val="right" w:pos="8306"/>
      </w:tabs>
      <w:snapToGrid w:val="0"/>
      <w:jc w:val="center"/>
    </w:pPr>
    <w:rPr>
      <w:sz w:val="18"/>
      <w:szCs w:val="18"/>
    </w:rPr>
  </w:style>
  <w:style w:type="character" w:styleId="6">
    <w:name w:val="page number"/>
    <w:basedOn w:val="5"/>
    <w:semiHidden/>
    <w:unhideWhenUsed/>
    <w:uiPriority w:val="99"/>
  </w:style>
  <w:style w:type="paragraph" w:customStyle="1" w:styleId="7">
    <w:name w:val="msonormalfy"/>
    <w:qFormat/>
    <w:uiPriority w:val="0"/>
    <w:pPr>
      <w:widowControl w:val="0"/>
      <w:jc w:val="center"/>
    </w:pPr>
    <w:rPr>
      <w:rFonts w:ascii="Calibri" w:hAnsi="Calibri" w:eastAsia="宋体" w:cs="Times New Roman"/>
      <w:kern w:val="2"/>
      <w:sz w:val="33"/>
      <w:szCs w:val="22"/>
      <w:lang w:val="en-US" w:eastAsia="zh-CN" w:bidi="ar-SA"/>
    </w:rPr>
  </w:style>
  <w:style w:type="paragraph" w:customStyle="1" w:styleId="8">
    <w:name w:val="msonormal_none"/>
    <w:qFormat/>
    <w:uiPriority w:val="0"/>
    <w:pPr>
      <w:widowControl w:val="0"/>
    </w:pPr>
    <w:rPr>
      <w:rFonts w:ascii="Calibri" w:hAnsi="Calibri" w:eastAsia="宋体" w:cs="Times New Roman"/>
      <w:kern w:val="2"/>
      <w:sz w:val="21"/>
      <w:szCs w:val="22"/>
      <w:lang w:val="en-US" w:eastAsia="zh-CN" w:bidi="ar-SA"/>
    </w:rPr>
  </w:style>
  <w:style w:type="character" w:customStyle="1" w:styleId="9">
    <w:name w:val="页眉 Char"/>
    <w:basedOn w:val="5"/>
    <w:link w:val="3"/>
    <w:semiHidden/>
    <w:locked/>
    <w:uiPriority w:val="99"/>
    <w:rPr>
      <w:rFonts w:hint="default" w:ascii="Times New Roman" w:hAnsi="Times New Roman" w:cs="Times New Roman"/>
      <w:sz w:val="18"/>
      <w:szCs w:val="18"/>
    </w:rPr>
  </w:style>
  <w:style w:type="character" w:customStyle="1" w:styleId="10">
    <w:name w:val="页脚 Char"/>
    <w:basedOn w:val="5"/>
    <w:link w:val="2"/>
    <w:semiHidden/>
    <w:locked/>
    <w:uiPriority w:val="99"/>
    <w:rPr>
      <w:rFonts w:hint="default" w:ascii="Times New Roman" w:hAnsi="Times New Roman" w:cs="Times New Roman"/>
      <w:sz w:val="18"/>
      <w:szCs w:val="18"/>
    </w:rPr>
  </w:style>
  <w:style w:type="paragraph" w:customStyle="1" w:styleId="11">
    <w:name w:val="dazhangjie"/>
    <w:basedOn w:val="1"/>
    <w:qFormat/>
    <w:uiPriority w:val="0"/>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12">
    <w:name w:val="zhangjie_p"/>
    <w:basedOn w:val="1"/>
    <w:uiPriority w:val="0"/>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13">
    <w:name w:val="zhangjie_p2"/>
    <w:basedOn w:val="1"/>
    <w:uiPriority w:val="0"/>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14">
    <w:name w:val="zhongyaotishi"/>
    <w:basedOn w:val="1"/>
    <w:qFormat/>
    <w:uiPriority w:val="0"/>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15">
    <w:name w:val="biaoge_left"/>
    <w:basedOn w:val="1"/>
    <w:uiPriority w:val="0"/>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6">
    <w:name w:val="biaoge_center"/>
    <w:basedOn w:val="1"/>
    <w:qFormat/>
    <w:uiPriority w:val="0"/>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17">
    <w:name w:val="biaoge_right"/>
    <w:basedOn w:val="1"/>
    <w:uiPriority w:val="0"/>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18">
    <w:name w:val="neirong"/>
    <w:basedOn w:val="1"/>
    <w:uiPriority w:val="0"/>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9">
    <w:name w:val="hide"/>
    <w:basedOn w:val="1"/>
    <w:uiPriority w:val="0"/>
    <w:pPr>
      <w:widowControl/>
      <w:spacing w:before="100" w:beforeAutospacing="1" w:after="100" w:afterAutospacing="1"/>
      <w:jc w:val="left"/>
    </w:pPr>
    <w:rPr>
      <w:rFonts w:ascii="宋体" w:hAnsi="宋体" w:cs="宋体"/>
      <w:vanish/>
      <w:kern w:val="0"/>
      <w:sz w:val="24"/>
      <w:szCs w:val="24"/>
    </w:rPr>
  </w:style>
  <w:style w:type="paragraph" w:customStyle="1" w:styleId="20">
    <w:name w:val="show"/>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1">
    <w:name w:val="biaoge_right1"/>
    <w:basedOn w:val="1"/>
    <w:uiPriority w:val="0"/>
    <w:pPr>
      <w:widowControl/>
      <w:autoSpaceDE w:val="0"/>
      <w:autoSpaceDN w:val="0"/>
      <w:adjustRightInd w:val="0"/>
      <w:spacing w:before="29" w:line="288" w:lineRule="auto"/>
      <w:ind w:left="15"/>
      <w:jc w:val="righ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582</Words>
  <Characters>3321</Characters>
  <Lines>27</Lines>
  <Paragraphs>7</Paragraphs>
  <TotalTime>27</TotalTime>
  <ScaleCrop>false</ScaleCrop>
  <LinksUpToDate>false</LinksUpToDate>
  <CharactersWithSpaces>3896</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2021-01-07T12:06:00Z</dcterms:created>
  <dc:creator>周扬天宇</dc:creator>
  <cp:lastModifiedBy>陈菲（OA）</cp:lastModifiedBy>
  <dcterms:modified xsi:type="dcterms:W3CDTF">2021-01-19T10:00:15Z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