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299,930,000.00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5.60%-6.20%/年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户名：工商银行贵阳农商银行超值宝新客专享１３期理财产品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账号：3602003829200467758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291,090.73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4,538,337.64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304,723,362.55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1.51</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1.60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1.53</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产品自2021年3月成立以来，累计管理规模</w:t>
      </w:r>
      <w:r>
        <w:rPr>
          <w:rFonts w:hint="eastAsia" w:ascii="仿宋" w:hAnsi="仿宋" w:eastAsia="仿宋"/>
          <w:color w:val="000000"/>
          <w:szCs w:val="21"/>
          <w:lang w:val="en-US" w:eastAsia="zh-CN"/>
        </w:rPr>
        <w:t>3.05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1.016</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1.51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305,018,257.52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305,018,257.52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305,018,257.52</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11,155.48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1.10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305,029,414.10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2,433,613,211.00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79.94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xml:space="preserve">0.75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501,649,256.57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16.48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2,144,896.18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83,786,077.68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3,044,152,041.43</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253,000,646.50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147,012,500.00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R002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140,048,610.07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1,309,843,631.57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43.03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Ciyb3rDoj029OYdbfPSVkeXfBKY=" w:salt="vtOObvW/9Xii3wb5PQV88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C1169C9"/>
    <w:rsid w:val="109E69E3"/>
    <w:rsid w:val="134F5BC1"/>
    <w:rsid w:val="14A17047"/>
    <w:rsid w:val="14E74041"/>
    <w:rsid w:val="153D2966"/>
    <w:rsid w:val="188B46A5"/>
    <w:rsid w:val="195F6954"/>
    <w:rsid w:val="1C311D75"/>
    <w:rsid w:val="2AA204DB"/>
    <w:rsid w:val="2F5C56FB"/>
    <w:rsid w:val="2FCD2C4F"/>
    <w:rsid w:val="371A037A"/>
    <w:rsid w:val="38721494"/>
    <w:rsid w:val="394F4B22"/>
    <w:rsid w:val="3D305393"/>
    <w:rsid w:val="3F524561"/>
    <w:rsid w:val="4218718A"/>
    <w:rsid w:val="46776F3C"/>
    <w:rsid w:val="4D1108E2"/>
    <w:rsid w:val="4EE378EB"/>
    <w:rsid w:val="50D46540"/>
    <w:rsid w:val="57FE5038"/>
    <w:rsid w:val="58DF7C14"/>
    <w:rsid w:val="5E660FCE"/>
    <w:rsid w:val="64F431AF"/>
    <w:rsid w:val="673B4350"/>
    <w:rsid w:val="67855A67"/>
    <w:rsid w:val="67DF73FA"/>
    <w:rsid w:val="692A41F0"/>
    <w:rsid w:val="6C7928C7"/>
    <w:rsid w:val="705B15C4"/>
    <w:rsid w:val="72B166F7"/>
    <w:rsid w:val="73D9330F"/>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1.001</c:v>
                </c:pt>
                <c:pt idx="1">
                  <c:v>1.0012</c:v>
                </c:pt>
                <c:pt idx="2">
                  <c:v>1.0012</c:v>
                </c:pt>
                <c:pt idx="3">
                  <c:v>1.0012</c:v>
                </c:pt>
                <c:pt idx="4">
                  <c:v>1.0012</c:v>
                </c:pt>
                <c:pt idx="5">
                  <c:v>1.0019</c:v>
                </c:pt>
                <c:pt idx="6">
                  <c:v>1.002</c:v>
                </c:pt>
                <c:pt idx="7">
                  <c:v>1.0022</c:v>
                </c:pt>
                <c:pt idx="8">
                  <c:v>1.0024</c:v>
                </c:pt>
                <c:pt idx="9">
                  <c:v>1.0024</c:v>
                </c:pt>
                <c:pt idx="10">
                  <c:v>1.0024</c:v>
                </c:pt>
                <c:pt idx="11">
                  <c:v>1.003</c:v>
                </c:pt>
                <c:pt idx="12">
                  <c:v>1.0031</c:v>
                </c:pt>
                <c:pt idx="13">
                  <c:v>1.0033</c:v>
                </c:pt>
                <c:pt idx="14">
                  <c:v>1.0035</c:v>
                </c:pt>
                <c:pt idx="15">
                  <c:v>1.0036</c:v>
                </c:pt>
                <c:pt idx="16">
                  <c:v>1.0036</c:v>
                </c:pt>
                <c:pt idx="17">
                  <c:v>1.0036</c:v>
                </c:pt>
                <c:pt idx="18">
                  <c:v>1.0042</c:v>
                </c:pt>
                <c:pt idx="19">
                  <c:v>1.0044</c:v>
                </c:pt>
                <c:pt idx="20">
                  <c:v>1.0045</c:v>
                </c:pt>
                <c:pt idx="21">
                  <c:v>1.0047</c:v>
                </c:pt>
                <c:pt idx="22">
                  <c:v>1.0048</c:v>
                </c:pt>
                <c:pt idx="23">
                  <c:v>1.0047</c:v>
                </c:pt>
                <c:pt idx="24">
                  <c:v>1.0047</c:v>
                </c:pt>
                <c:pt idx="25">
                  <c:v>1.0052</c:v>
                </c:pt>
                <c:pt idx="26">
                  <c:v>1.0054</c:v>
                </c:pt>
                <c:pt idx="27">
                  <c:v>1.0056</c:v>
                </c:pt>
                <c:pt idx="28">
                  <c:v>1.0058</c:v>
                </c:pt>
                <c:pt idx="29">
                  <c:v>1.0059</c:v>
                </c:pt>
                <c:pt idx="30">
                  <c:v>1.0059</c:v>
                </c:pt>
                <c:pt idx="31">
                  <c:v>1.0059</c:v>
                </c:pt>
                <c:pt idx="32">
                  <c:v>1.0059</c:v>
                </c:pt>
                <c:pt idx="33">
                  <c:v>1.0058</c:v>
                </c:pt>
                <c:pt idx="34">
                  <c:v>1.0058</c:v>
                </c:pt>
                <c:pt idx="35">
                  <c:v>1.0068</c:v>
                </c:pt>
                <c:pt idx="36">
                  <c:v>1.007</c:v>
                </c:pt>
                <c:pt idx="37">
                  <c:v>1.007</c:v>
                </c:pt>
                <c:pt idx="38">
                  <c:v>1.007</c:v>
                </c:pt>
                <c:pt idx="39">
                  <c:v>1.0075</c:v>
                </c:pt>
                <c:pt idx="40">
                  <c:v>1.0077</c:v>
                </c:pt>
                <c:pt idx="41">
                  <c:v>1.0077</c:v>
                </c:pt>
                <c:pt idx="42">
                  <c:v>1.0079</c:v>
                </c:pt>
                <c:pt idx="43">
                  <c:v>1.008</c:v>
                </c:pt>
                <c:pt idx="44">
                  <c:v>1.008</c:v>
                </c:pt>
                <c:pt idx="45">
                  <c:v>1.008</c:v>
                </c:pt>
                <c:pt idx="46">
                  <c:v>1.0085</c:v>
                </c:pt>
                <c:pt idx="47">
                  <c:v>1.0087</c:v>
                </c:pt>
                <c:pt idx="48">
                  <c:v>1.0088</c:v>
                </c:pt>
                <c:pt idx="49">
                  <c:v>1.009</c:v>
                </c:pt>
                <c:pt idx="50">
                  <c:v>1.0091</c:v>
                </c:pt>
                <c:pt idx="51">
                  <c:v>1.0091</c:v>
                </c:pt>
                <c:pt idx="52">
                  <c:v>1.0091</c:v>
                </c:pt>
                <c:pt idx="53">
                  <c:v>1.0097</c:v>
                </c:pt>
                <c:pt idx="54">
                  <c:v>1.0099</c:v>
                </c:pt>
                <c:pt idx="55">
                  <c:v>1.0101</c:v>
                </c:pt>
                <c:pt idx="56">
                  <c:v>1.0103</c:v>
                </c:pt>
                <c:pt idx="57">
                  <c:v>1.0104</c:v>
                </c:pt>
                <c:pt idx="58">
                  <c:v>1.0104</c:v>
                </c:pt>
                <c:pt idx="59">
                  <c:v>1.0103</c:v>
                </c:pt>
                <c:pt idx="60">
                  <c:v>1.0109</c:v>
                </c:pt>
                <c:pt idx="61">
                  <c:v>1.0111</c:v>
                </c:pt>
                <c:pt idx="62">
                  <c:v>1.0113</c:v>
                </c:pt>
                <c:pt idx="63">
                  <c:v>1.0115</c:v>
                </c:pt>
                <c:pt idx="64">
                  <c:v>1.0117</c:v>
                </c:pt>
                <c:pt idx="65">
                  <c:v>1.0117</c:v>
                </c:pt>
                <c:pt idx="66">
                  <c:v>1.0117</c:v>
                </c:pt>
                <c:pt idx="67">
                  <c:v>1.0122</c:v>
                </c:pt>
                <c:pt idx="68">
                  <c:v>1.0124</c:v>
                </c:pt>
                <c:pt idx="69">
                  <c:v>1.0125</c:v>
                </c:pt>
                <c:pt idx="70">
                  <c:v>1.0127</c:v>
                </c:pt>
                <c:pt idx="71">
                  <c:v>1.0129</c:v>
                </c:pt>
                <c:pt idx="72">
                  <c:v>1.0129</c:v>
                </c:pt>
                <c:pt idx="73">
                  <c:v>1.0129</c:v>
                </c:pt>
                <c:pt idx="74">
                  <c:v>1.0129</c:v>
                </c:pt>
                <c:pt idx="75">
                  <c:v>1.0135</c:v>
                </c:pt>
                <c:pt idx="76">
                  <c:v>1.0137</c:v>
                </c:pt>
                <c:pt idx="77">
                  <c:v>1.0139</c:v>
                </c:pt>
                <c:pt idx="78">
                  <c:v>1.014</c:v>
                </c:pt>
                <c:pt idx="79">
                  <c:v>1.014</c:v>
                </c:pt>
                <c:pt idx="80">
                  <c:v>1.014</c:v>
                </c:pt>
                <c:pt idx="81">
                  <c:v>1.0145</c:v>
                </c:pt>
                <c:pt idx="82">
                  <c:v>1.0147</c:v>
                </c:pt>
                <c:pt idx="83">
                  <c:v>1.0148</c:v>
                </c:pt>
                <c:pt idx="84">
                  <c:v>1.0149</c:v>
                </c:pt>
                <c:pt idx="85">
                  <c:v>1.0151</c:v>
                </c:pt>
                <c:pt idx="86">
                  <c:v>1.0151</c:v>
                </c:pt>
                <c:pt idx="87">
                  <c:v>1.0151</c:v>
                </c:pt>
                <c:pt idx="88">
                  <c:v>1.0156</c:v>
                </c:pt>
                <c:pt idx="89">
                  <c:v>1.0158</c:v>
                </c:pt>
                <c:pt idx="90">
                  <c:v>1.016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9.99100809271347e-5</c:v>
                </c:pt>
                <c:pt idx="1">
                  <c:v>0.000299730242781626</c:v>
                </c:pt>
                <c:pt idx="2">
                  <c:v>0.000299730242781626</c:v>
                </c:pt>
                <c:pt idx="3">
                  <c:v>0.000299730242781626</c:v>
                </c:pt>
                <c:pt idx="4">
                  <c:v>0.000299730242781626</c:v>
                </c:pt>
                <c:pt idx="5">
                  <c:v>0.000999100809271791</c:v>
                </c:pt>
                <c:pt idx="6">
                  <c:v>0.00109901089019893</c:v>
                </c:pt>
                <c:pt idx="7">
                  <c:v>0.0012988310520532</c:v>
                </c:pt>
                <c:pt idx="8">
                  <c:v>0.00149865121390746</c:v>
                </c:pt>
                <c:pt idx="9">
                  <c:v>0.00149865121390746</c:v>
                </c:pt>
                <c:pt idx="10">
                  <c:v>0.00149865121390746</c:v>
                </c:pt>
                <c:pt idx="11">
                  <c:v>0.0020981116994705</c:v>
                </c:pt>
                <c:pt idx="12">
                  <c:v>0.00219802178039785</c:v>
                </c:pt>
                <c:pt idx="13">
                  <c:v>0.00239784194225212</c:v>
                </c:pt>
                <c:pt idx="14">
                  <c:v>0.00259766210410639</c:v>
                </c:pt>
                <c:pt idx="15">
                  <c:v>0.00269757218503353</c:v>
                </c:pt>
                <c:pt idx="16">
                  <c:v>0.00269757218503353</c:v>
                </c:pt>
                <c:pt idx="17">
                  <c:v>0.00269757218503353</c:v>
                </c:pt>
                <c:pt idx="18">
                  <c:v>0.00329703267059656</c:v>
                </c:pt>
                <c:pt idx="19">
                  <c:v>0.00349685283245083</c:v>
                </c:pt>
                <c:pt idx="20">
                  <c:v>0.00359676291337796</c:v>
                </c:pt>
                <c:pt idx="21">
                  <c:v>0.00379658307523223</c:v>
                </c:pt>
                <c:pt idx="22">
                  <c:v>0.00389649315615936</c:v>
                </c:pt>
                <c:pt idx="23">
                  <c:v>0.00379658307523223</c:v>
                </c:pt>
                <c:pt idx="24">
                  <c:v>0.00379658307523223</c:v>
                </c:pt>
                <c:pt idx="25">
                  <c:v>0.00429613347986835</c:v>
                </c:pt>
                <c:pt idx="26">
                  <c:v>0.00449595364172262</c:v>
                </c:pt>
                <c:pt idx="27">
                  <c:v>0.00469577380357689</c:v>
                </c:pt>
                <c:pt idx="28">
                  <c:v>0.00489559396543116</c:v>
                </c:pt>
                <c:pt idx="29">
                  <c:v>0.00499550404635829</c:v>
                </c:pt>
                <c:pt idx="30">
                  <c:v>0.00499550404635829</c:v>
                </c:pt>
                <c:pt idx="31">
                  <c:v>0.00499550404635829</c:v>
                </c:pt>
                <c:pt idx="32">
                  <c:v>0.00499550404635829</c:v>
                </c:pt>
                <c:pt idx="33">
                  <c:v>0.00489559396543116</c:v>
                </c:pt>
                <c:pt idx="34">
                  <c:v>0.00489559396543116</c:v>
                </c:pt>
                <c:pt idx="35">
                  <c:v>0.00589469477470272</c:v>
                </c:pt>
                <c:pt idx="36">
                  <c:v>0.00609451493655699</c:v>
                </c:pt>
                <c:pt idx="37">
                  <c:v>0.00609451493655699</c:v>
                </c:pt>
                <c:pt idx="38">
                  <c:v>0.00609451493655699</c:v>
                </c:pt>
                <c:pt idx="39">
                  <c:v>0.00659406534119311</c:v>
                </c:pt>
                <c:pt idx="40">
                  <c:v>0.00679388550304738</c:v>
                </c:pt>
                <c:pt idx="41">
                  <c:v>0.00679388550304738</c:v>
                </c:pt>
                <c:pt idx="42">
                  <c:v>0.00699370566490165</c:v>
                </c:pt>
                <c:pt idx="43">
                  <c:v>0.00709361574582879</c:v>
                </c:pt>
                <c:pt idx="44">
                  <c:v>0.00709361574582879</c:v>
                </c:pt>
                <c:pt idx="45">
                  <c:v>0.00709361574582879</c:v>
                </c:pt>
                <c:pt idx="46">
                  <c:v>0.00759316615046468</c:v>
                </c:pt>
                <c:pt idx="47">
                  <c:v>0.00779298631231895</c:v>
                </c:pt>
                <c:pt idx="48">
                  <c:v>0.00789289639324608</c:v>
                </c:pt>
                <c:pt idx="49">
                  <c:v>0.00809271655510035</c:v>
                </c:pt>
                <c:pt idx="50">
                  <c:v>0.00819262663602771</c:v>
                </c:pt>
                <c:pt idx="51">
                  <c:v>0.00819262663602771</c:v>
                </c:pt>
                <c:pt idx="52">
                  <c:v>0.00819262663602771</c:v>
                </c:pt>
                <c:pt idx="53">
                  <c:v>0.00879208712159074</c:v>
                </c:pt>
                <c:pt idx="54">
                  <c:v>0.00899190728344501</c:v>
                </c:pt>
                <c:pt idx="55">
                  <c:v>0.00919172744529928</c:v>
                </c:pt>
                <c:pt idx="56">
                  <c:v>0.00939154760715355</c:v>
                </c:pt>
                <c:pt idx="57">
                  <c:v>0.00949145768808068</c:v>
                </c:pt>
                <c:pt idx="58">
                  <c:v>0.00949145768808068</c:v>
                </c:pt>
                <c:pt idx="59">
                  <c:v>0.00939154760715355</c:v>
                </c:pt>
                <c:pt idx="60">
                  <c:v>0.00999100809271658</c:v>
                </c:pt>
                <c:pt idx="61">
                  <c:v>0.0101908282545711</c:v>
                </c:pt>
                <c:pt idx="62">
                  <c:v>0.0103906484164253</c:v>
                </c:pt>
                <c:pt idx="63">
                  <c:v>0.0105904685782796</c:v>
                </c:pt>
                <c:pt idx="64">
                  <c:v>0.0107902887401341</c:v>
                </c:pt>
                <c:pt idx="65">
                  <c:v>0.0107902887401341</c:v>
                </c:pt>
                <c:pt idx="66">
                  <c:v>0.0107902887401341</c:v>
                </c:pt>
                <c:pt idx="67">
                  <c:v>0.0112898391447698</c:v>
                </c:pt>
                <c:pt idx="68">
                  <c:v>0.011489659306624</c:v>
                </c:pt>
                <c:pt idx="69">
                  <c:v>0.0115895693875512</c:v>
                </c:pt>
                <c:pt idx="70">
                  <c:v>0.0117893895494057</c:v>
                </c:pt>
                <c:pt idx="71">
                  <c:v>0.0119892097112599</c:v>
                </c:pt>
                <c:pt idx="72">
                  <c:v>0.0119892097112599</c:v>
                </c:pt>
                <c:pt idx="73">
                  <c:v>0.0119892097112599</c:v>
                </c:pt>
                <c:pt idx="74">
                  <c:v>0.0119892097112599</c:v>
                </c:pt>
                <c:pt idx="75">
                  <c:v>0.012588670196823</c:v>
                </c:pt>
                <c:pt idx="76">
                  <c:v>0.0127884903586772</c:v>
                </c:pt>
                <c:pt idx="77">
                  <c:v>0.0129883105205317</c:v>
                </c:pt>
                <c:pt idx="78">
                  <c:v>0.0130882206014589</c:v>
                </c:pt>
                <c:pt idx="79">
                  <c:v>0.0130882206014589</c:v>
                </c:pt>
                <c:pt idx="80">
                  <c:v>0.0130882206014589</c:v>
                </c:pt>
                <c:pt idx="81">
                  <c:v>0.0135877710060945</c:v>
                </c:pt>
                <c:pt idx="82">
                  <c:v>0.0137875911679488</c:v>
                </c:pt>
                <c:pt idx="83">
                  <c:v>0.0138875012488759</c:v>
                </c:pt>
                <c:pt idx="84">
                  <c:v>0.0139874113298033</c:v>
                </c:pt>
                <c:pt idx="85">
                  <c:v>0.0141872314916576</c:v>
                </c:pt>
                <c:pt idx="86">
                  <c:v>0.0141872314916576</c:v>
                </c:pt>
                <c:pt idx="87">
                  <c:v>0.0141872314916576</c:v>
                </c:pt>
                <c:pt idx="88">
                  <c:v>0.0146867818962935</c:v>
                </c:pt>
                <c:pt idx="89">
                  <c:v>0.0148866020581477</c:v>
                </c:pt>
                <c:pt idx="90">
                  <c:v>0.015086422220002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2022-05-16T06:25:42Z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