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ageBreakBefore/>
        <w:spacing w:before="0" w:beforeAutospacing="0" w:after="0" w:afterAutospacing="0" w:line="360" w:lineRule="auto"/>
        <w:jc w:val="center"/>
        <w:outlineLvl w:val="0"/>
        <w:rPr>
          <w:rFonts w:hint="eastAsia" w:ascii="楷体" w:hAnsi="楷体" w:eastAsia="楷体"/>
          <w:b/>
          <w:sz w:val="36"/>
          <w:szCs w:val="36"/>
        </w:rPr>
      </w:pPr>
      <w:r>
        <w:rPr>
          <w:rFonts w:hint="eastAsia" w:ascii="楷体" w:hAnsi="楷体" w:eastAsia="楷体"/>
          <w:b/>
          <w:sz w:val="36"/>
          <w:szCs w:val="36"/>
        </w:rPr>
        <w:t>“苏银理财恒源</w:t>
      </w:r>
      <w:r>
        <w:rPr>
          <w:rFonts w:hint="eastAsia" w:ascii="楷体" w:hAnsi="楷体" w:eastAsia="楷体"/>
          <w:b/>
          <w:sz w:val="36"/>
          <w:szCs w:val="36"/>
          <w:lang w:eastAsia="zh-CN"/>
        </w:rPr>
        <w:t>天添鑫5号</w:t>
      </w:r>
      <w:r>
        <w:rPr>
          <w:rFonts w:hint="eastAsia" w:ascii="楷体" w:hAnsi="楷体" w:eastAsia="楷体"/>
          <w:b/>
          <w:sz w:val="36"/>
          <w:szCs w:val="36"/>
        </w:rPr>
        <w:t>”理财产品风险揭示书</w:t>
      </w:r>
    </w:p>
    <w:p>
      <w:pPr>
        <w:jc w:val="center"/>
        <w:outlineLvl w:val="1"/>
        <w:rPr>
          <w:rFonts w:hint="eastAsia" w:ascii="楷体" w:hAnsi="楷体" w:eastAsia="楷体" w:cs="宋体"/>
          <w:b/>
          <w:kern w:val="0"/>
          <w:sz w:val="32"/>
          <w:szCs w:val="32"/>
        </w:rPr>
      </w:pPr>
      <w:r>
        <w:rPr>
          <w:rFonts w:hint="eastAsia" w:ascii="楷体" w:hAnsi="楷体" w:eastAsia="楷体" w:cs="宋体"/>
          <w:b/>
          <w:kern w:val="0"/>
          <w:sz w:val="32"/>
          <w:szCs w:val="32"/>
        </w:rPr>
        <w:t>理财非存款、产品有风险、投资须谨慎</w:t>
      </w:r>
    </w:p>
    <w:p>
      <w:pPr>
        <w:pStyle w:val="12"/>
        <w:spacing w:before="0" w:beforeAutospacing="0" w:after="0" w:afterAutospacing="0"/>
        <w:rPr>
          <w:rFonts w:ascii="楷体" w:hAnsi="楷体" w:eastAsia="楷体" w:cs="Times New Roman"/>
        </w:rPr>
      </w:pPr>
      <w:r>
        <w:rPr>
          <w:rFonts w:hint="eastAsia" w:ascii="楷体" w:hAnsi="楷体" w:eastAsia="楷体" w:cs="Times New Roman"/>
        </w:rPr>
        <w:t>尊敬的投资者：</w:t>
      </w: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由于理财资金在管理运用过程中可能面临多种风险因素，根据国家金融监督管理总局（以下简称“金融监管总局”）相关监管规定，苏银理财有限责任公司（以下简称“苏银理财”）作为本理财产品的产品管理人郑重提示您：在您选择购买理财产品前，请仔细阅读本理财产品完整合同（包括《风险揭示书》、《理财产品说明书》、《投资者权益须知》、《理财产品投资协议书》和《理财产品（代理）销售协议书》），了解理财产品具体情况；在您购买理财产品后，请关注本理财产品的信息披露，及时获取相关信息。</w:t>
      </w: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苏银理财作为本理财产品管理人承诺以诚实信用、勤勉尽责的原则管理和运用理财产品资产，</w:t>
      </w:r>
      <w:r>
        <w:rPr>
          <w:rFonts w:hint="eastAsia" w:ascii="楷体" w:hAnsi="楷体" w:eastAsia="楷体" w:cs="Times New Roman"/>
          <w:b/>
        </w:rPr>
        <w:t>但不保证理财产品一定盈利，也不保证最低收益，极端情况下有可能会损失部分甚至全部本金。</w:t>
      </w:r>
      <w:r>
        <w:rPr>
          <w:rFonts w:hint="eastAsia" w:ascii="楷体" w:hAnsi="楷体" w:eastAsia="楷体" w:cs="Times New Roman"/>
        </w:rPr>
        <w:t>本风险揭示书旨在揭示本理财产品可能面临的各种风险，请您务必充分认识以下风险。</w:t>
      </w:r>
    </w:p>
    <w:p>
      <w:pPr>
        <w:numPr>
          <w:ilvl w:val="0"/>
          <w:numId w:val="1"/>
        </w:numPr>
        <w:tabs>
          <w:tab w:val="left" w:pos="1134"/>
        </w:tabs>
        <w:ind w:left="0" w:firstLine="560" w:firstLineChars="200"/>
        <w:outlineLvl w:val="1"/>
        <w:rPr>
          <w:rFonts w:hint="eastAsia" w:ascii="楷体" w:hAnsi="楷体" w:eastAsia="楷体"/>
          <w:sz w:val="24"/>
          <w:szCs w:val="24"/>
        </w:rPr>
      </w:pPr>
      <w:r>
        <w:rPr>
          <w:rFonts w:hint="eastAsia" w:ascii="楷体" w:hAnsi="楷体" w:eastAsia="楷体"/>
          <w:sz w:val="28"/>
          <w:szCs w:val="28"/>
        </w:rPr>
        <w:t>风险揭示</w:t>
      </w: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请投资者根据自身理财目标、投资经验、财务状况、风险承受能力以及其他相关情况慎重考虑购买本理财产品。本风险揭示书列示的风险指理财产品项下可能涉及的风险，包括但不限于：</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政策风险：</w:t>
      </w:r>
      <w:r>
        <w:rPr>
          <w:rFonts w:hint="eastAsia" w:ascii="楷体" w:hAnsi="楷体" w:eastAsia="楷体"/>
          <w:sz w:val="24"/>
          <w:szCs w:val="24"/>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numPr>
          <w:ilvl w:val="0"/>
          <w:numId w:val="2"/>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信用风险：</w:t>
      </w:r>
      <w:r>
        <w:rPr>
          <w:rFonts w:hint="eastAsia" w:ascii="楷体" w:hAnsi="楷体" w:eastAsia="楷体"/>
          <w:sz w:val="24"/>
          <w:szCs w:val="24"/>
        </w:rPr>
        <w:t>本理财产品投资于固定收益类资产，因此有可能由于发行主体或交易对手信用状况恶化导致交易违约，致使本理财产品到期实际收益不足业绩比较基准，该种情况下，苏银理财有限责任公司将按照投资实际收益情况，并以资产变现实际收到的资金为限支付投资人收益，投资人将自行承担由此而导致本金和收益遭受部分甚至全部损失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市场风险：</w:t>
      </w:r>
      <w:r>
        <w:rPr>
          <w:rFonts w:hint="eastAsia" w:ascii="楷体" w:hAnsi="楷体" w:eastAsia="楷体"/>
          <w:sz w:val="24"/>
          <w:szCs w:val="24"/>
        </w:rPr>
        <w:t>本理财产品投资的债券、股票等资产的价格受到经济因素、政治因素、投资心理和交易制度等各种因素的影响，可能导致本理财产品资产收益水平变化，投资者可能面临本金和收益遭受部分甚至全部损失的风险。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本金及理财产品收益风险：</w:t>
      </w:r>
      <w:r>
        <w:rPr>
          <w:rFonts w:hint="eastAsia" w:ascii="楷体" w:hAnsi="楷体" w:eastAsia="楷体"/>
          <w:sz w:val="24"/>
          <w:szCs w:val="24"/>
        </w:rPr>
        <w:t>本理财计划不等同于银行存款，不保障投资者投资理财的本金，不保证理财收益，投资者的本金和理财收益（如有）均可能随理财计划投资盈亏而浮动，在最不利的情况，投资者可能无法取得理财收益甚至损失部分或全部本金。</w:t>
      </w:r>
    </w:p>
    <w:p>
      <w:pPr>
        <w:numPr>
          <w:ilvl w:val="0"/>
          <w:numId w:val="2"/>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流动性风险：</w:t>
      </w:r>
      <w:r>
        <w:rPr>
          <w:rFonts w:hint="eastAsia" w:ascii="楷体" w:hAnsi="楷体" w:eastAsia="楷体"/>
          <w:bCs/>
          <w:sz w:val="24"/>
          <w:szCs w:val="24"/>
        </w:rPr>
        <w:t>在特定市场环境下，理财产品所投资的部分市场或资产可能出现流动性较差的情况，导致理财产品无法通过变现资产等途径以合理成本及时获得充足资金，无法满足投资者赎回需求、履行其他支付义务，带来流动性风险。</w:t>
      </w:r>
      <w:r>
        <w:rPr>
          <w:rFonts w:hint="eastAsia" w:ascii="楷体" w:hAnsi="楷体" w:eastAsia="楷体"/>
          <w:sz w:val="24"/>
          <w:szCs w:val="24"/>
        </w:rPr>
        <w:t>在本理财产品存续期内，投资者只能在理财产品说明书规定的时间和条件内办理申购与赎回，这可能影响投资者的资金安排，带来流动性风险。</w:t>
      </w:r>
      <w:r>
        <w:rPr>
          <w:rFonts w:hint="eastAsia" w:ascii="楷体" w:hAnsi="楷体" w:eastAsia="楷体"/>
          <w:b/>
          <w:sz w:val="24"/>
          <w:szCs w:val="24"/>
          <w:u w:val="single"/>
        </w:rPr>
        <w:t>在理财产品开放日净赎回额（赎回申请份额总数扣除申购申请份额总数）超过理财产品存续份额10%时，即为发生巨额赎回，此时苏银理财有权拒绝赎回申请，这可能影响投资者的资金安排，带来流动性风险。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管理风险：</w:t>
      </w:r>
      <w:r>
        <w:rPr>
          <w:rFonts w:hint="eastAsia" w:ascii="楷体" w:hAnsi="楷体" w:eastAsia="楷体"/>
          <w:sz w:val="24"/>
          <w:szCs w:val="24"/>
        </w:rPr>
        <w:t>在本理财产品运作过程中，投资管理各方受经验、技能、执行力等综合因素的限制，可能会对本理财产品的运作和管理造成一定影响，则投资者可能面临本金和收益遭受部分甚至全部损失的风险。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操作风险：</w:t>
      </w:r>
      <w:r>
        <w:rPr>
          <w:rFonts w:hint="eastAsia" w:ascii="楷体" w:hAnsi="楷体" w:eastAsia="楷体"/>
          <w:sz w:val="24"/>
          <w:szCs w:val="24"/>
        </w:rPr>
        <w:t>如本理财产品管理人由于内部作业、人员管理、系统操作及事务处理不当或失误等，则投资者可能面临本金和收益遭受部分甚至全部损失的风险。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产品不成立风险：</w:t>
      </w:r>
      <w:r>
        <w:rPr>
          <w:rFonts w:hint="eastAsia" w:ascii="楷体" w:hAnsi="楷体" w:eastAsia="楷体"/>
          <w:sz w:val="24"/>
          <w:szCs w:val="24"/>
        </w:rPr>
        <w:t>如果因募集规模低于说明书约定的最低规模或其他因素导致本理财产品不能成立的情形，苏银理财有权宣布该理财产品不成立，投资者将面临再投资风险。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延期兑付风险：</w:t>
      </w:r>
      <w:r>
        <w:rPr>
          <w:rFonts w:hint="eastAsia" w:ascii="楷体" w:hAnsi="楷体" w:eastAsia="楷体"/>
          <w:sz w:val="24"/>
          <w:szCs w:val="24"/>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提前终止风险：</w:t>
      </w:r>
      <w:r>
        <w:rPr>
          <w:rFonts w:hint="eastAsia" w:ascii="楷体" w:hAnsi="楷体" w:eastAsia="楷体"/>
          <w:sz w:val="24"/>
          <w:szCs w:val="24"/>
        </w:rPr>
        <w:t>为保护投资者利益，在本理财产品存续期间，产品管理人可根据本理财产品说明书约定的情况提前终止本理财产品。同时，由于不可抗力及/或意外事件导致产品管理人无法继续履行理财产品合同的，产品管理人有权提前终止理财产品合同，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信息传递风险：</w:t>
      </w:r>
      <w:r>
        <w:rPr>
          <w:rFonts w:hint="eastAsia" w:ascii="楷体" w:hAnsi="楷体" w:eastAsia="楷体"/>
          <w:sz w:val="24"/>
          <w:szCs w:val="24"/>
        </w:rPr>
        <w:t>产品管理人将按照本理财产品合同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税务风险：</w:t>
      </w:r>
      <w:r>
        <w:rPr>
          <w:rFonts w:hint="eastAsia" w:ascii="楷体" w:hAnsi="楷体" w:eastAsia="楷体"/>
          <w:sz w:val="24"/>
          <w:szCs w:val="24"/>
        </w:rPr>
        <w:t>理财产品在资产管理、运营、处置过程中产生的收入，根据国家相关法律法规应缴纳增值税（含增值税附加税费，下同）及/或其他税费的，即使产品管理人被税务机关认定为纳税义务人，该等增值税及/或其他税费仍属于应由理财产品承担的理财产品税费，由产品管理人申报和缴纳。该等税款将直接从理财产品中扣付缴纳，理财产品将因为前述增值税等税负承担导致计划税费支出增加、理财产品净值或实际收益降低，从而降低产品投资人的收益水平。</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代销风险（如有）：</w:t>
      </w:r>
      <w:r>
        <w:rPr>
          <w:rFonts w:hint="eastAsia" w:ascii="楷体" w:hAnsi="楷体" w:eastAsia="楷体"/>
          <w:bCs/>
          <w:sz w:val="24"/>
          <w:szCs w:val="24"/>
        </w:rPr>
        <w:t>如</w:t>
      </w:r>
      <w:r>
        <w:rPr>
          <w:rFonts w:hint="eastAsia" w:ascii="楷体" w:hAnsi="楷体" w:eastAsia="楷体"/>
          <w:sz w:val="24"/>
          <w:szCs w:val="24"/>
        </w:rPr>
        <w:t>本产品通过代销渠道（非产品管理人自有渠道）销售，投资者认（申）购理财产品的资金由代销机构从投资者资金账户扣收；份额赎回时，赎回资金按本理财产品合同约定划付至代销机构清算账户后，由代销机构向投资者划付投资者应得赎回资金，并由代销机构向投资者支付应得理财利益。不同代销机构的销售渠道，其认（申）购/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bCs/>
          <w:sz w:val="24"/>
          <w:szCs w:val="24"/>
        </w:rPr>
        <w:t>理财产品的份额类别差异风险：</w:t>
      </w:r>
      <w:r>
        <w:rPr>
          <w:rFonts w:hint="eastAsia" w:ascii="楷体" w:hAnsi="楷体" w:eastAsia="楷体"/>
          <w:sz w:val="24"/>
          <w:szCs w:val="24"/>
        </w:rPr>
        <w:t>产品管理人可根据投资者购买理财产品的金额、销售渠道等因素，对投资者所持有的理财产品设置不同的份额类别。同一款理财产品内不同类别的份额，其销售名称、销售代码、销售对象、销售起点金额（认购、申购起点金额）、业绩比较基准、产品费用（包括托管费、销售服务费、投资管理费和超额业绩报酬等费用）、投资者认（申）购和赎回数量的限制、投资者持有本产品的最高/最低限额、计算和公告产品份额净值等方面均可能存在差异，请投资者在购买前仔细阅读产品合同进行甄别。</w:t>
      </w:r>
    </w:p>
    <w:p>
      <w:pPr>
        <w:numPr>
          <w:ilvl w:val="0"/>
          <w:numId w:val="2"/>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不可抗力风险：</w:t>
      </w:r>
      <w:r>
        <w:rPr>
          <w:rFonts w:hint="eastAsia" w:ascii="楷体" w:hAnsi="楷体" w:eastAsia="楷体"/>
          <w:sz w:val="24"/>
          <w:szCs w:val="24"/>
        </w:rPr>
        <w:t>自然灾害、疫情、严重传染病、金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numPr>
          <w:ilvl w:val="0"/>
          <w:numId w:val="2"/>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特定投资标的风险：</w:t>
      </w:r>
    </w:p>
    <w:p>
      <w:pPr>
        <w:numPr>
          <w:ilvl w:val="0"/>
          <w:numId w:val="3"/>
        </w:numPr>
        <w:tabs>
          <w:tab w:val="left" w:pos="742"/>
        </w:tabs>
        <w:outlineLvl w:val="2"/>
        <w:rPr>
          <w:rFonts w:hint="eastAsia" w:ascii="楷体" w:hAnsi="楷体" w:eastAsia="楷体"/>
          <w:sz w:val="24"/>
          <w:szCs w:val="24"/>
        </w:rPr>
      </w:pPr>
      <w:r>
        <w:rPr>
          <w:rFonts w:hint="eastAsia" w:ascii="楷体" w:hAnsi="楷体" w:eastAsia="楷体"/>
          <w:sz w:val="24"/>
          <w:szCs w:val="24"/>
        </w:rPr>
        <w:t>债券投资的特殊风险：</w:t>
      </w:r>
    </w:p>
    <w:p>
      <w:pPr>
        <w:numPr>
          <w:ilvl w:val="0"/>
          <w:numId w:val="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市场平均利率水平变化导致债券价格变化的风险。</w:t>
      </w:r>
    </w:p>
    <w:p>
      <w:pPr>
        <w:numPr>
          <w:ilvl w:val="0"/>
          <w:numId w:val="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债券市场不同期限、不同类别债券之间的利差变动导致相应期限和类别债券价格变化的风险。</w:t>
      </w:r>
    </w:p>
    <w:p>
      <w:pPr>
        <w:numPr>
          <w:ilvl w:val="0"/>
          <w:numId w:val="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numPr>
          <w:ilvl w:val="0"/>
          <w:numId w:val="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债券发行人、担保人出现违约拒绝支付到期本息，或由于债券发行人、担保人信用质量降低导致债券价格下降及无法收回投资收益的风险。</w:t>
      </w:r>
    </w:p>
    <w:p>
      <w:pPr>
        <w:numPr>
          <w:ilvl w:val="0"/>
          <w:numId w:val="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与信用等级较高的债券相比，投资于信用等级较低的债券将因为发行主体的偿还债务能力略低、受不利经济环境的影响更大以及违约风险更高等原因而面临更大的投资风险。</w:t>
      </w:r>
    </w:p>
    <w:p>
      <w:pPr>
        <w:numPr>
          <w:ilvl w:val="0"/>
          <w:numId w:val="4"/>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3"/>
        </w:numPr>
        <w:tabs>
          <w:tab w:val="left" w:pos="742"/>
        </w:tabs>
        <w:outlineLvl w:val="2"/>
        <w:rPr>
          <w:rFonts w:hint="eastAsia" w:ascii="楷体" w:hAnsi="楷体" w:eastAsia="楷体"/>
          <w:sz w:val="24"/>
          <w:szCs w:val="24"/>
        </w:rPr>
      </w:pPr>
      <w:r>
        <w:rPr>
          <w:rFonts w:hint="eastAsia" w:ascii="楷体" w:hAnsi="楷体" w:eastAsia="楷体"/>
          <w:sz w:val="24"/>
          <w:szCs w:val="24"/>
        </w:rPr>
        <w:t>股票投资的特殊风险：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国家货币政策、财政政策、产业政策等的变化对证券市场产生一定的影响，导致市场价格水平波动的风险。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宏观经济运行周期性波动，对股票市场的收益水平产生影响的风险。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上市公司的经营状况受多种因素影响，如市场、技术、竞争、管理、财务等都会导致公司盈利发生变化，从而导致股票价格变动的风险。</w:t>
      </w:r>
    </w:p>
    <w:p>
      <w:pPr>
        <w:numPr>
          <w:ilvl w:val="0"/>
          <w:numId w:val="3"/>
        </w:numPr>
        <w:tabs>
          <w:tab w:val="left" w:pos="742"/>
        </w:tabs>
        <w:outlineLvl w:val="2"/>
        <w:rPr>
          <w:rFonts w:hint="eastAsia" w:ascii="楷体" w:hAnsi="楷体" w:eastAsia="楷体"/>
          <w:sz w:val="24"/>
          <w:szCs w:val="24"/>
        </w:rPr>
      </w:pPr>
      <w:r>
        <w:rPr>
          <w:rFonts w:hint="eastAsia" w:ascii="楷体" w:hAnsi="楷体" w:eastAsia="楷体"/>
          <w:sz w:val="24"/>
          <w:szCs w:val="24"/>
        </w:rPr>
        <w:t>相关资产管理计划或基金份额的特殊风险：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资产管理计划或基金产品可能出现因为某种原因而被提前终止的情况，由此可能会造成对本理财产品投资收益的影响。</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合同约定的投资范围，导致本理财产品项下委托财产的损失等风险。</w:t>
      </w:r>
    </w:p>
    <w:p>
      <w:pPr>
        <w:pStyle w:val="12"/>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上述风险揭示事项仅为列举性质，未能详尽列明投资者参与本理财产品所面临的全部风险和可能导致投资者资产损失的所有因素。在您签署本理财产品的理财产品（代理）销售协议书前，应当仔细阅读风险揭示书、理财产品说明书、投资者权益须知、理财产品投资协议书及理财产品（代理）销售协议书的全部内容，同时向销售机构了解本理财产品的其他相关信息，并自己独立作出是否认购本理财产品的决定。</w:t>
      </w:r>
    </w:p>
    <w:p>
      <w:pPr>
        <w:pStyle w:val="12"/>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如影响您的风险承受能力的因素发生变化，请及时完成风险承受能力评估。</w:t>
      </w:r>
    </w:p>
    <w:p>
      <w:pPr>
        <w:numPr>
          <w:ilvl w:val="0"/>
          <w:numId w:val="1"/>
        </w:numPr>
        <w:tabs>
          <w:tab w:val="left" w:pos="1134"/>
        </w:tabs>
        <w:ind w:left="0" w:firstLine="560" w:firstLineChars="200"/>
        <w:outlineLvl w:val="1"/>
        <w:rPr>
          <w:rFonts w:ascii="楷体" w:hAnsi="楷体" w:eastAsia="楷体"/>
          <w:sz w:val="28"/>
          <w:szCs w:val="28"/>
        </w:rPr>
      </w:pPr>
      <w:r>
        <w:rPr>
          <w:rFonts w:hint="eastAsia" w:ascii="楷体" w:hAnsi="楷体" w:eastAsia="楷体"/>
          <w:sz w:val="28"/>
          <w:szCs w:val="28"/>
        </w:rPr>
        <w:t>投资者提示</w:t>
      </w:r>
    </w:p>
    <w:p>
      <w:pPr>
        <w:numPr>
          <w:ilvl w:val="0"/>
          <w:numId w:val="7"/>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本理财产品不保证本金及收益，您的本金可能因市场变动或者交易违约等事项而蒙受相应损失，在最不利的情况下甚至可能损失全部本金。投资者应充分认识投资风险，谨慎投资。</w:t>
      </w:r>
    </w:p>
    <w:p>
      <w:pPr>
        <w:numPr>
          <w:ilvl w:val="0"/>
          <w:numId w:val="7"/>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本理财产品过往业绩不代表其未来表现，不等于理财产品实际收益，投资须谨慎。理财非存款、产品有风险、投资须谨慎。</w:t>
      </w:r>
    </w:p>
    <w:p>
      <w:pPr>
        <w:numPr>
          <w:ilvl w:val="0"/>
          <w:numId w:val="7"/>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管理人系江苏银行股份有限公司（下称"江苏银行"）全资子公司，江苏银行为管理人关联方。如本理财产品销售机构为江苏银行，则产品投资运作中可能出现关联交易行为，存在可能导致影响投资者收益的风险。管理人将建立健全关联交易管理制度，对关联交易认定标准、交易定价方法、交易审批程序进行规范，并严格遵守法律、行政法规和金融监督管理部门的规定对关联方进行识别，按规定及时进行审批、备案并充分披露，不会以本理财产品的资产与关联方进行不正当交易、利益输送等违反相关监管规定的行为，降低关联交易风险。投资者认可此等关联方及关联交易情形的存在并自愿承担相关投资风险。</w:t>
      </w:r>
    </w:p>
    <w:p>
      <w:pPr>
        <w:numPr>
          <w:ilvl w:val="0"/>
          <w:numId w:val="7"/>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cs="Calibri"/>
          <w:b/>
          <w:sz w:val="24"/>
          <w:szCs w:val="24"/>
          <w:u w:val="single"/>
        </w:rPr>
        <w:t>固定收益类、公募、开放式</w:t>
      </w:r>
      <w:r>
        <w:rPr>
          <w:rFonts w:hint="eastAsia" w:ascii="楷体" w:hAnsi="楷体" w:eastAsia="楷体"/>
          <w:sz w:val="24"/>
          <w:szCs w:val="24"/>
        </w:rPr>
        <w:t>，产品管理人对本理财产品的内部风险评级为</w:t>
      </w:r>
      <w:r>
        <w:rPr>
          <w:rFonts w:hint="eastAsia" w:ascii="楷体" w:hAnsi="楷体" w:eastAsia="楷体"/>
          <w:b/>
          <w:sz w:val="24"/>
          <w:szCs w:val="24"/>
          <w:u w:val="single"/>
        </w:rPr>
        <w:t>★★二级，适合</w:t>
      </w:r>
      <w:r>
        <w:rPr>
          <w:rFonts w:hint="eastAsia" w:ascii="楷体" w:hAnsi="楷体" w:eastAsia="楷体" w:cs="Calibri"/>
          <w:b/>
          <w:sz w:val="24"/>
          <w:szCs w:val="24"/>
          <w:u w:val="single"/>
        </w:rPr>
        <w:t>中低风险型</w:t>
      </w:r>
      <w:r>
        <w:rPr>
          <w:rFonts w:hint="eastAsia" w:ascii="楷体" w:hAnsi="楷体" w:eastAsia="楷体"/>
          <w:b/>
          <w:sz w:val="24"/>
          <w:szCs w:val="24"/>
          <w:u w:val="single"/>
        </w:rPr>
        <w:t>投资者</w:t>
      </w:r>
      <w:r>
        <w:rPr>
          <w:rFonts w:hint="eastAsia" w:ascii="楷体" w:hAnsi="楷体" w:eastAsia="楷体"/>
          <w:sz w:val="24"/>
          <w:szCs w:val="24"/>
          <w:u w:val="single"/>
        </w:rPr>
        <w:t>。</w:t>
      </w:r>
      <w:r>
        <w:rPr>
          <w:rFonts w:hint="eastAsia" w:ascii="楷体" w:hAnsi="楷体" w:eastAsia="楷体"/>
          <w:b/>
          <w:bCs/>
          <w:sz w:val="24"/>
          <w:szCs w:val="24"/>
          <w:u w:val="single"/>
        </w:rPr>
        <w:t>如本产品通过代理销售机构渠道销售，理财产品评级以代理销售机构最终披露的评级结果为准</w:t>
      </w:r>
      <w:r>
        <w:rPr>
          <w:rFonts w:hint="eastAsia" w:ascii="楷体" w:hAnsi="楷体" w:eastAsia="楷体"/>
          <w:b/>
          <w:sz w:val="24"/>
          <w:szCs w:val="24"/>
          <w:u w:val="single"/>
        </w:rPr>
        <w:t>。</w:t>
      </w:r>
    </w:p>
    <w:p>
      <w:pPr>
        <w:numPr>
          <w:ilvl w:val="0"/>
          <w:numId w:val="7"/>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并对评估结果签字确认。机构投资者无需进行风险承受能力评估。</w:t>
      </w:r>
    </w:p>
    <w:p>
      <w:pPr>
        <w:numPr>
          <w:ilvl w:val="0"/>
          <w:numId w:val="7"/>
        </w:numPr>
        <w:tabs>
          <w:tab w:val="left" w:pos="742"/>
        </w:tabs>
        <w:ind w:left="0" w:firstLine="480" w:firstLineChars="200"/>
        <w:rPr>
          <w:rFonts w:ascii="楷体" w:hAnsi="楷体" w:eastAsia="楷体"/>
          <w:b/>
          <w:sz w:val="24"/>
          <w:szCs w:val="24"/>
        </w:rPr>
      </w:pPr>
      <w:r>
        <w:rPr>
          <w:rFonts w:hint="eastAsia" w:ascii="楷体" w:hAnsi="楷体" w:eastAsia="楷体"/>
          <w:sz w:val="24"/>
          <w:szCs w:val="24"/>
        </w:rPr>
        <w:t>本理财产品的风险揭示书、理财产品说明书、投资者权益须知、理财产品投资协议书及理财产品（代理）销售协议书为本理财产品合同不可分割的组成部分。您签署本理财产品合同并将资金委托给苏银理财运作是您真实的意思表示。</w:t>
      </w:r>
      <w:r>
        <w:rPr>
          <w:rFonts w:hint="eastAsia" w:ascii="楷体" w:hAnsi="楷体" w:eastAsia="楷体"/>
          <w:b/>
          <w:sz w:val="24"/>
          <w:szCs w:val="24"/>
        </w:rPr>
        <w:t>您还应了解您所购买理财产品的投资风险、类型特点和投资存在的最不利投资情形：在最不利情况下，投资者甚至可能损失全部本金。示例：如投资者购买本理财产品，本金为1万元，在理财产品资产组合项下资产全部亏损的最不利情况下，理财产品1万元本金将全部损失。</w:t>
      </w:r>
    </w:p>
    <w:p>
      <w:pPr>
        <w:numPr>
          <w:ilvl w:val="0"/>
          <w:numId w:val="7"/>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苏银理财及销售机构将根据相关法律、法规严格履行投资者信息保密责任，除监管机构或司法机关等有权机构外，不得对其他第三方提供任何投资者信息。</w:t>
      </w:r>
    </w:p>
    <w:p>
      <w:pPr>
        <w:autoSpaceDE w:val="0"/>
        <w:autoSpaceDN w:val="0"/>
        <w:adjustRightInd w:val="0"/>
        <w:ind w:firstLine="426" w:firstLineChars="177"/>
        <w:jc w:val="left"/>
        <w:rPr>
          <w:rFonts w:ascii="楷体" w:hAnsi="楷体" w:eastAsia="楷体" w:cs="宋体"/>
          <w:b/>
          <w:kern w:val="0"/>
          <w:sz w:val="24"/>
          <w:szCs w:val="24"/>
        </w:rPr>
      </w:pPr>
    </w:p>
    <w:p>
      <w:pPr>
        <w:pStyle w:val="12"/>
        <w:spacing w:before="0" w:beforeAutospacing="0" w:after="0" w:afterAutospacing="0" w:line="360" w:lineRule="auto"/>
        <w:ind w:left="420"/>
        <w:jc w:val="right"/>
        <w:rPr>
          <w:rFonts w:ascii="楷体" w:hAnsi="楷体" w:eastAsia="楷体"/>
          <w:b/>
        </w:rPr>
      </w:pPr>
      <w:r>
        <w:rPr>
          <w:rFonts w:hint="eastAsia" w:ascii="楷体" w:hAnsi="楷体" w:eastAsia="楷体"/>
          <w:b/>
        </w:rPr>
        <w:t>风险揭示方：苏银理财有限责任公司</w:t>
      </w:r>
    </w:p>
    <w:p>
      <w:pPr>
        <w:pStyle w:val="12"/>
        <w:spacing w:before="0" w:beforeAutospacing="0" w:after="0" w:afterAutospacing="0" w:line="360" w:lineRule="auto"/>
        <w:ind w:left="420"/>
        <w:jc w:val="right"/>
        <w:rPr>
          <w:rFonts w:hint="eastAsia" w:ascii="楷体" w:hAnsi="楷体" w:eastAsia="楷体"/>
          <w:b/>
        </w:rPr>
      </w:pPr>
      <w:r>
        <w:rPr>
          <w:rFonts w:ascii="楷体" w:hAnsi="楷体" w:eastAsia="楷体"/>
          <w:b/>
        </w:rPr>
        <w:br w:type="page"/>
      </w:r>
    </w:p>
    <w:p>
      <w:pPr>
        <w:pStyle w:val="12"/>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投资者风险确认函</w:t>
      </w:r>
    </w:p>
    <w:p>
      <w:pPr>
        <w:numPr>
          <w:ilvl w:val="0"/>
          <w:numId w:val="8"/>
        </w:numPr>
        <w:tabs>
          <w:tab w:val="left" w:pos="1134"/>
        </w:tabs>
        <w:ind w:firstLine="560" w:firstLineChars="200"/>
        <w:outlineLvl w:val="0"/>
        <w:rPr>
          <w:rFonts w:ascii="楷体" w:hAnsi="楷体" w:eastAsia="楷体"/>
          <w:sz w:val="28"/>
          <w:szCs w:val="28"/>
        </w:rPr>
      </w:pPr>
      <w:r>
        <w:rPr>
          <w:rFonts w:hint="eastAsia" w:ascii="楷体" w:hAnsi="楷体" w:eastAsia="楷体"/>
          <w:sz w:val="28"/>
          <w:szCs w:val="28"/>
        </w:rPr>
        <w:t>个人投资者确认</w:t>
      </w:r>
    </w:p>
    <w:p>
      <w:pPr>
        <w:ind w:firstLine="480" w:firstLineChars="200"/>
        <w:rPr>
          <w:rFonts w:ascii="楷体" w:hAnsi="楷体" w:eastAsia="楷体"/>
          <w:sz w:val="24"/>
          <w:szCs w:val="24"/>
        </w:rPr>
      </w:pPr>
      <w:r>
        <w:rPr>
          <w:rFonts w:hint="eastAsia" w:ascii="楷体" w:hAnsi="楷体" w:eastAsia="楷体"/>
          <w:sz w:val="24"/>
          <w:szCs w:val="24"/>
        </w:rPr>
        <w:t>本人确认已经收到本理财产品的风险揭示书，且已经认真阅读本理财产品完整合同（包括产品风险揭示书、理财产品说明书、投资者权益须知、理财产品投资协议书和理财产品（代理）销售协议书），充分了解并清楚知晓理财产品的风险，愿意承担相关风险，接受本理财产品合同全部约定。本人确认理解投资本理财产品将涉及的所有风险，并将承担且有能力承担该等风险。</w:t>
      </w:r>
      <w:r>
        <w:rPr>
          <w:rFonts w:hint="eastAsia" w:ascii="楷体" w:hAnsi="楷体" w:eastAsia="楷体"/>
          <w:b/>
          <w:bCs/>
          <w:sz w:val="24"/>
          <w:szCs w:val="24"/>
          <w:u w:val="single"/>
        </w:rPr>
        <w:t>本人承诺理财购买资金来源合法合规，本人将配合管理人及销售机构开展反洗钱、反恐怖融资及非居民金融账户涉税信息尽职调查等工作。</w:t>
      </w:r>
    </w:p>
    <w:p>
      <w:pPr>
        <w:ind w:firstLine="480" w:firstLineChars="200"/>
        <w:rPr>
          <w:rFonts w:hint="eastAsia" w:ascii="楷体" w:hAnsi="楷体" w:eastAsia="楷体"/>
          <w:sz w:val="24"/>
          <w:szCs w:val="24"/>
        </w:rPr>
      </w:pPr>
      <w:r>
        <w:rPr>
          <w:rFonts w:hint="eastAsia" w:ascii="楷体" w:hAnsi="楷体" w:eastAsia="楷体"/>
          <w:sz w:val="24"/>
          <w:szCs w:val="24"/>
        </w:rPr>
        <w:t>经销售机构评估，本人的风险承受能力评级结果为</w:t>
      </w:r>
      <w:r>
        <w:rPr>
          <w:rFonts w:ascii="楷体" w:hAnsi="楷体" w:eastAsia="楷体"/>
          <w:b/>
          <w:sz w:val="24"/>
          <w:szCs w:val="24"/>
        </w:rPr>
        <w:t>：</w:t>
      </w:r>
    </w:p>
    <w:p>
      <w:pPr>
        <w:rPr>
          <w:rFonts w:hint="eastAsia" w:ascii="楷体" w:hAnsi="楷体" w:eastAsia="楷体"/>
          <w:b/>
          <w:sz w:val="24"/>
          <w:szCs w:val="24"/>
        </w:rPr>
      </w:pPr>
    </w:p>
    <w:p>
      <w:pPr>
        <w:ind w:firstLine="480" w:firstLineChars="200"/>
        <w:rPr>
          <w:rFonts w:hint="eastAsia" w:ascii="楷体" w:hAnsi="楷体" w:eastAsia="楷体"/>
          <w:sz w:val="24"/>
          <w:szCs w:val="24"/>
          <w:u w:val="single"/>
        </w:rPr>
      </w:pPr>
      <w:r>
        <w:rPr>
          <w:rFonts w:hint="eastAsia" w:ascii="楷体" w:hAnsi="楷体" w:eastAsia="楷体"/>
          <w:sz w:val="24"/>
          <w:szCs w:val="24"/>
          <w:u w:val="single"/>
        </w:rPr>
        <w:t xml:space="preserve">                                        （</w:t>
      </w:r>
      <w:r>
        <w:rPr>
          <w:rFonts w:hint="eastAsia" w:ascii="楷体" w:hAnsi="楷体" w:eastAsia="楷体"/>
          <w:b/>
          <w:sz w:val="24"/>
          <w:szCs w:val="24"/>
          <w:u w:val="single"/>
        </w:rPr>
        <w:t>投资者本人填写</w:t>
      </w:r>
      <w:r>
        <w:rPr>
          <w:rFonts w:hint="eastAsia" w:ascii="楷体" w:hAnsi="楷体" w:eastAsia="楷体"/>
          <w:sz w:val="24"/>
          <w:szCs w:val="24"/>
          <w:u w:val="single"/>
        </w:rPr>
        <w:t>）</w:t>
      </w:r>
    </w:p>
    <w:p>
      <w:pPr>
        <w:ind w:firstLine="480" w:firstLineChars="200"/>
        <w:rPr>
          <w:rFonts w:ascii="楷体" w:hAnsi="楷体" w:eastAsia="楷体"/>
          <w:sz w:val="24"/>
          <w:szCs w:val="24"/>
        </w:rPr>
      </w:pPr>
      <w:r>
        <w:rPr>
          <w:rFonts w:hint="eastAsia" w:ascii="楷体" w:hAnsi="楷体" w:eastAsia="楷体"/>
          <w:sz w:val="24"/>
          <w:szCs w:val="24"/>
        </w:rPr>
        <w:t>风险承受能力不低于本理财产品的风险评级，适合购买本理财产品。如风险承受能力评估已超过一年，</w:t>
      </w:r>
      <w:r>
        <w:rPr>
          <w:rFonts w:ascii="楷体" w:hAnsi="楷体" w:eastAsia="楷体"/>
          <w:sz w:val="24"/>
          <w:szCs w:val="24"/>
        </w:rPr>
        <w:t>或</w:t>
      </w:r>
      <w:r>
        <w:rPr>
          <w:rFonts w:hint="eastAsia" w:ascii="楷体" w:hAnsi="楷体" w:eastAsia="楷体"/>
          <w:sz w:val="24"/>
          <w:szCs w:val="24"/>
        </w:rPr>
        <w:t>影响风险承受能力的因素发生变化，本人将及时完成风险承受能力的重新评估。</w:t>
      </w:r>
    </w:p>
    <w:p>
      <w:pPr>
        <w:ind w:firstLine="480" w:firstLineChars="200"/>
        <w:rPr>
          <w:rFonts w:hint="eastAsia" w:ascii="楷体" w:hAnsi="楷体" w:eastAsia="楷体"/>
          <w:b/>
          <w:sz w:val="24"/>
          <w:szCs w:val="24"/>
          <w:lang w:eastAsia="zh-CN"/>
        </w:rPr>
      </w:pPr>
      <w:r>
        <w:rPr>
          <w:rFonts w:hint="eastAsia" w:ascii="楷体" w:hAnsi="楷体" w:eastAsia="楷体"/>
          <w:sz w:val="24"/>
          <w:szCs w:val="24"/>
        </w:rPr>
        <w:t>须</w:t>
      </w:r>
      <w:r>
        <w:rPr>
          <w:rFonts w:hint="eastAsia" w:ascii="楷体" w:hAnsi="楷体" w:eastAsia="楷体"/>
          <w:b/>
          <w:sz w:val="24"/>
          <w:szCs w:val="24"/>
          <w:u w:val="single"/>
        </w:rPr>
        <w:t>投资者亲笔抄录</w:t>
      </w:r>
      <w:r>
        <w:rPr>
          <w:rFonts w:hint="eastAsia" w:ascii="楷体" w:hAnsi="楷体" w:eastAsia="楷体"/>
          <w:sz w:val="24"/>
          <w:szCs w:val="24"/>
        </w:rPr>
        <w:t>以下内容：</w:t>
      </w:r>
      <w:r>
        <w:rPr>
          <w:rFonts w:hint="eastAsia" w:ascii="楷体" w:hAnsi="楷体" w:eastAsia="楷体"/>
          <w:b/>
          <w:sz w:val="24"/>
          <w:szCs w:val="24"/>
        </w:rPr>
        <w:t>“</w:t>
      </w:r>
      <w:r>
        <w:rPr>
          <w:rFonts w:hint="eastAsia" w:ascii="楷体" w:hAnsi="楷体" w:eastAsia="楷体"/>
          <w:b/>
          <w:sz w:val="24"/>
          <w:szCs w:val="24"/>
          <w:u w:val="single"/>
        </w:rPr>
        <w:t>本人已经阅读风险揭示，愿意承担投资风险</w:t>
      </w:r>
      <w:r>
        <w:rPr>
          <w:rFonts w:hint="eastAsia" w:ascii="楷体" w:hAnsi="楷体" w:eastAsia="楷体"/>
          <w:b/>
          <w:sz w:val="24"/>
          <w:szCs w:val="24"/>
        </w:rPr>
        <w:t>”</w:t>
      </w:r>
      <w:r>
        <w:rPr>
          <w:rFonts w:hint="eastAsia" w:ascii="楷体" w:hAnsi="楷体" w:eastAsia="楷体"/>
          <w:b/>
          <w:sz w:val="24"/>
          <w:szCs w:val="24"/>
          <w:lang w:eastAsia="zh-CN"/>
        </w:rPr>
        <w:t>。</w:t>
      </w:r>
    </w:p>
    <w:p>
      <w:pPr>
        <w:rPr>
          <w:rFonts w:hint="eastAsia" w:ascii="楷体" w:hAnsi="楷体" w:eastAsia="楷体"/>
          <w:sz w:val="24"/>
          <w:szCs w:val="24"/>
          <w:u w:val="single"/>
        </w:rPr>
      </w:pPr>
    </w:p>
    <w:p>
      <w:pPr>
        <w:rPr>
          <w:rFonts w:hint="eastAsia" w:ascii="楷体" w:hAnsi="楷体" w:eastAsia="楷体"/>
          <w:sz w:val="24"/>
          <w:szCs w:val="24"/>
          <w:u w:val="single"/>
        </w:rPr>
      </w:pPr>
      <w:r>
        <w:rPr>
          <w:rFonts w:hint="eastAsia" w:ascii="楷体" w:hAnsi="楷体" w:eastAsia="楷体"/>
          <w:sz w:val="24"/>
          <w:szCs w:val="24"/>
          <w:u w:val="single"/>
        </w:rPr>
        <w:t xml:space="preserve">                                                                         </w:t>
      </w:r>
    </w:p>
    <w:p>
      <w:pPr>
        <w:rPr>
          <w:rFonts w:hint="eastAsia" w:ascii="楷体" w:hAnsi="楷体" w:eastAsia="楷体"/>
          <w:sz w:val="24"/>
          <w:szCs w:val="24"/>
        </w:rPr>
      </w:pPr>
      <w:r>
        <w:rPr>
          <w:rFonts w:hint="eastAsia" w:ascii="楷体" w:hAnsi="楷体" w:eastAsia="楷体"/>
          <w:sz w:val="24"/>
          <w:szCs w:val="24"/>
        </w:rPr>
        <w:t>个人投资者签字：</w:t>
      </w:r>
    </w:p>
    <w:p>
      <w:pPr>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p>
      <w:pPr>
        <w:numPr>
          <w:ilvl w:val="0"/>
          <w:numId w:val="8"/>
        </w:numPr>
        <w:tabs>
          <w:tab w:val="left" w:pos="1134"/>
        </w:tabs>
        <w:ind w:firstLine="560" w:firstLineChars="200"/>
        <w:outlineLvl w:val="0"/>
        <w:rPr>
          <w:rFonts w:hint="eastAsia" w:ascii="楷体" w:hAnsi="楷体" w:eastAsia="楷体"/>
          <w:sz w:val="28"/>
          <w:szCs w:val="28"/>
        </w:rPr>
      </w:pPr>
      <w:r>
        <w:rPr>
          <w:rFonts w:hint="eastAsia" w:ascii="楷体" w:hAnsi="楷体" w:eastAsia="楷体"/>
          <w:sz w:val="28"/>
          <w:szCs w:val="28"/>
        </w:rPr>
        <w:t>机构投资者确认</w:t>
      </w:r>
    </w:p>
    <w:p>
      <w:pPr>
        <w:ind w:firstLine="480" w:firstLineChars="200"/>
        <w:rPr>
          <w:rFonts w:ascii="楷体" w:hAnsi="楷体" w:eastAsia="楷体"/>
          <w:sz w:val="24"/>
          <w:szCs w:val="24"/>
        </w:rPr>
      </w:pPr>
      <w:r>
        <w:rPr>
          <w:rFonts w:hint="eastAsia" w:ascii="楷体" w:hAnsi="楷体" w:eastAsia="楷体"/>
          <w:sz w:val="24"/>
          <w:szCs w:val="24"/>
        </w:rPr>
        <w:t>投资者</w:t>
      </w:r>
      <w:r>
        <w:rPr>
          <w:rFonts w:ascii="楷体" w:hAnsi="楷体" w:eastAsia="楷体"/>
          <w:sz w:val="24"/>
          <w:szCs w:val="24"/>
        </w:rPr>
        <w:t>声明：投资决策系由本</w:t>
      </w:r>
      <w:r>
        <w:rPr>
          <w:rFonts w:hint="eastAsia" w:ascii="楷体" w:hAnsi="楷体" w:eastAsia="楷体"/>
          <w:sz w:val="24"/>
          <w:szCs w:val="24"/>
        </w:rPr>
        <w:t>机构</w:t>
      </w:r>
      <w:r>
        <w:rPr>
          <w:rFonts w:ascii="楷体" w:hAnsi="楷体" w:eastAsia="楷体"/>
          <w:sz w:val="24"/>
          <w:szCs w:val="24"/>
        </w:rPr>
        <w:t>独立、自主、谨慎做出，本</w:t>
      </w:r>
      <w:r>
        <w:rPr>
          <w:rFonts w:hint="eastAsia" w:ascii="楷体" w:hAnsi="楷体" w:eastAsia="楷体"/>
          <w:sz w:val="24"/>
          <w:szCs w:val="24"/>
        </w:rPr>
        <w:t>机构已经收到本理财产品的风险揭示书，且已经认真阅读本理财产品完整合同（包括风险揭示书、理财产品说明书、投资者权益须知、理财产品投资协议书和理财产品（代理）销售协议书）</w:t>
      </w:r>
      <w:r>
        <w:rPr>
          <w:rFonts w:ascii="楷体" w:hAnsi="楷体" w:eastAsia="楷体"/>
          <w:sz w:val="24"/>
          <w:szCs w:val="24"/>
        </w:rPr>
        <w:t>，充分认识该理财产品的特征、风险和投资者相关权利义务条款，完全理解并自愿接受</w:t>
      </w:r>
      <w:r>
        <w:rPr>
          <w:rFonts w:hint="eastAsia" w:ascii="楷体" w:hAnsi="楷体" w:eastAsia="楷体"/>
          <w:sz w:val="24"/>
          <w:szCs w:val="24"/>
        </w:rPr>
        <w:t>。</w:t>
      </w:r>
      <w:r>
        <w:rPr>
          <w:rFonts w:hint="eastAsia" w:ascii="楷体" w:hAnsi="楷体" w:eastAsia="楷体"/>
          <w:b/>
          <w:bCs/>
          <w:sz w:val="24"/>
          <w:szCs w:val="24"/>
          <w:u w:val="single"/>
        </w:rPr>
        <w:t>本机构承诺理财购买资金来源合法合规，本机构将配合管理人及销售机构开展反洗钱、反恐怖融资及非居民金融账户涉税信息尽职调查等工作。</w:t>
      </w: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sz w:val="24"/>
          <w:szCs w:val="24"/>
        </w:rPr>
        <w:t>机构投资者（盖章）：</w:t>
      </w:r>
    </w:p>
    <w:p>
      <w:pPr>
        <w:rPr>
          <w:rFonts w:ascii="楷体" w:hAnsi="楷体" w:eastAsia="楷体"/>
          <w:sz w:val="24"/>
          <w:szCs w:val="24"/>
        </w:rPr>
      </w:pPr>
    </w:p>
    <w:p>
      <w:pPr>
        <w:rPr>
          <w:rFonts w:hint="eastAsia" w:ascii="楷体" w:hAnsi="楷体" w:eastAsia="楷体"/>
          <w:sz w:val="24"/>
          <w:szCs w:val="24"/>
        </w:rPr>
      </w:pPr>
      <w:r>
        <w:rPr>
          <w:rFonts w:hint="eastAsia" w:ascii="楷体" w:hAnsi="楷体" w:eastAsia="楷体"/>
          <w:sz w:val="24"/>
          <w:szCs w:val="24"/>
        </w:rPr>
        <w:t>机构投资者法定代表人或授权代表（签字或盖章）</w:t>
      </w:r>
    </w:p>
    <w:p>
      <w:pPr>
        <w:rPr>
          <w:rFonts w:hint="eastAsia" w:ascii="楷体" w:hAnsi="楷体" w:eastAsia="楷体"/>
        </w:rPr>
      </w:pPr>
    </w:p>
    <w:p>
      <w:pPr>
        <w:jc w:val="right"/>
      </w:pPr>
      <w:r>
        <w:rPr>
          <w:rFonts w:hint="eastAsia" w:ascii="楷体" w:hAnsi="楷体" w:eastAsia="楷体"/>
          <w:sz w:val="24"/>
          <w:szCs w:val="24"/>
        </w:rPr>
        <w:t>年   月   日</w:t>
      </w:r>
      <w:bookmarkStart w:id="0" w:name="_GoBack"/>
      <w:bookmarkEnd w:id="0"/>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41</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rPr>
      <w:pict>
        <v:shape id="WordPictureWatermark367128483" o:spid="_x0000_s4098" o:spt="75" type="#_x0000_t75" style="position:absolute;left:0pt;margin-left:-361pt;margin-top:-83.1pt;height:862.85pt;width:1137.35pt;mso-position-horizontal-relative:margin;mso-position-vertical-relative:margin;z-index:-251655168;mso-width-relative:page;mso-height-relative:page;" filled="f" o:preferrelative="t" stroked="f" coordsize="21600,21600" o:allowincell="f">
          <v:path/>
          <v:fill on="f" focussize="0,0"/>
          <v:stroke on="f" joinstyle="miter"/>
          <v:imagedata r:id="rId1" gain="19661f" blacklevel="22938f" o:title="苏银理财"/>
          <o:lock v:ext="edit" aspectratio="t"/>
        </v:shape>
      </w:pict>
    </w:r>
    <w:r>
      <w:drawing>
        <wp:anchor distT="0" distB="0" distL="114300" distR="114300" simplePos="0" relativeHeight="251662336" behindDoc="0" locked="0" layoutInCell="1" allowOverlap="1">
          <wp:simplePos x="0" y="0"/>
          <wp:positionH relativeFrom="column">
            <wp:posOffset>3923665</wp:posOffset>
          </wp:positionH>
          <wp:positionV relativeFrom="paragraph">
            <wp:posOffset>-95250</wp:posOffset>
          </wp:positionV>
          <wp:extent cx="1325245" cy="424815"/>
          <wp:effectExtent l="0" t="0" r="8255" b="0"/>
          <wp:wrapSquare wrapText="bothSides"/>
          <wp:docPr id="9"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C:\Users\JSYH\Desktop\苏银理财.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25245" cy="424815"/>
                  </a:xfrm>
                  <a:prstGeom prst="rect">
                    <a:avLst/>
                  </a:prstGeom>
                  <a:noFill/>
                  <a:ln>
                    <a:noFill/>
                  </a:ln>
                </pic:spPr>
              </pic:pic>
            </a:graphicData>
          </a:graphic>
        </wp:anchor>
      </w:drawing>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4099"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4097"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77D34"/>
    <w:multiLevelType w:val="multilevel"/>
    <w:tmpl w:val="06977D34"/>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
    <w:nsid w:val="0A0768A9"/>
    <w:multiLevelType w:val="multilevel"/>
    <w:tmpl w:val="0A0768A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56D729A"/>
    <w:multiLevelType w:val="multilevel"/>
    <w:tmpl w:val="256D72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B215EF"/>
    <w:multiLevelType w:val="multilevel"/>
    <w:tmpl w:val="2BB215EF"/>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4">
    <w:nsid w:val="390580B3"/>
    <w:multiLevelType w:val="multilevel"/>
    <w:tmpl w:val="390580B3"/>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7833841"/>
    <w:multiLevelType w:val="multilevel"/>
    <w:tmpl w:val="47833841"/>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3357784"/>
    <w:multiLevelType w:val="multilevel"/>
    <w:tmpl w:val="7335778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E31909"/>
    <w:multiLevelType w:val="multilevel"/>
    <w:tmpl w:val="77E3190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6"/>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F7"/>
    <w:rsid w:val="00001531"/>
    <w:rsid w:val="0000191C"/>
    <w:rsid w:val="00001E2F"/>
    <w:rsid w:val="00002389"/>
    <w:rsid w:val="00003606"/>
    <w:rsid w:val="000048B0"/>
    <w:rsid w:val="00005B01"/>
    <w:rsid w:val="00006EAF"/>
    <w:rsid w:val="000101E4"/>
    <w:rsid w:val="0001103A"/>
    <w:rsid w:val="00011464"/>
    <w:rsid w:val="00012543"/>
    <w:rsid w:val="000131EF"/>
    <w:rsid w:val="00013628"/>
    <w:rsid w:val="00014334"/>
    <w:rsid w:val="00014EC2"/>
    <w:rsid w:val="000158A7"/>
    <w:rsid w:val="00015A92"/>
    <w:rsid w:val="00015D58"/>
    <w:rsid w:val="00016232"/>
    <w:rsid w:val="00017933"/>
    <w:rsid w:val="000202AB"/>
    <w:rsid w:val="0002052D"/>
    <w:rsid w:val="00020A6F"/>
    <w:rsid w:val="00021007"/>
    <w:rsid w:val="00023A4F"/>
    <w:rsid w:val="00023BA8"/>
    <w:rsid w:val="00023E47"/>
    <w:rsid w:val="000247F9"/>
    <w:rsid w:val="00026143"/>
    <w:rsid w:val="000263ED"/>
    <w:rsid w:val="00026D13"/>
    <w:rsid w:val="00027056"/>
    <w:rsid w:val="000279D8"/>
    <w:rsid w:val="00027E61"/>
    <w:rsid w:val="00027F48"/>
    <w:rsid w:val="0003072E"/>
    <w:rsid w:val="00030D69"/>
    <w:rsid w:val="000315E6"/>
    <w:rsid w:val="00031707"/>
    <w:rsid w:val="00031806"/>
    <w:rsid w:val="00031A38"/>
    <w:rsid w:val="00031BAC"/>
    <w:rsid w:val="00031F80"/>
    <w:rsid w:val="00034890"/>
    <w:rsid w:val="00036007"/>
    <w:rsid w:val="000375C2"/>
    <w:rsid w:val="000401BF"/>
    <w:rsid w:val="000405B1"/>
    <w:rsid w:val="00043555"/>
    <w:rsid w:val="00043D5F"/>
    <w:rsid w:val="000462D8"/>
    <w:rsid w:val="000469D0"/>
    <w:rsid w:val="00046AAA"/>
    <w:rsid w:val="0004768E"/>
    <w:rsid w:val="000503FC"/>
    <w:rsid w:val="00050975"/>
    <w:rsid w:val="00051DB3"/>
    <w:rsid w:val="00054158"/>
    <w:rsid w:val="00054854"/>
    <w:rsid w:val="000553A7"/>
    <w:rsid w:val="00057222"/>
    <w:rsid w:val="00057646"/>
    <w:rsid w:val="00057F4B"/>
    <w:rsid w:val="00060571"/>
    <w:rsid w:val="000617D2"/>
    <w:rsid w:val="00061D74"/>
    <w:rsid w:val="00062791"/>
    <w:rsid w:val="00064F2B"/>
    <w:rsid w:val="000661A6"/>
    <w:rsid w:val="00066F56"/>
    <w:rsid w:val="000677EE"/>
    <w:rsid w:val="00071418"/>
    <w:rsid w:val="00071581"/>
    <w:rsid w:val="00072396"/>
    <w:rsid w:val="0007293A"/>
    <w:rsid w:val="00072D1F"/>
    <w:rsid w:val="0007366C"/>
    <w:rsid w:val="00074189"/>
    <w:rsid w:val="00074306"/>
    <w:rsid w:val="000757BB"/>
    <w:rsid w:val="0007693B"/>
    <w:rsid w:val="000804C2"/>
    <w:rsid w:val="00080C2C"/>
    <w:rsid w:val="00081AD6"/>
    <w:rsid w:val="00082051"/>
    <w:rsid w:val="000848C8"/>
    <w:rsid w:val="000849CB"/>
    <w:rsid w:val="000853F6"/>
    <w:rsid w:val="000867A8"/>
    <w:rsid w:val="00087036"/>
    <w:rsid w:val="00087D83"/>
    <w:rsid w:val="00087EDB"/>
    <w:rsid w:val="00091208"/>
    <w:rsid w:val="000913BF"/>
    <w:rsid w:val="00091907"/>
    <w:rsid w:val="00093C11"/>
    <w:rsid w:val="00094613"/>
    <w:rsid w:val="00094631"/>
    <w:rsid w:val="00096382"/>
    <w:rsid w:val="0009795C"/>
    <w:rsid w:val="00097F80"/>
    <w:rsid w:val="000A2D2D"/>
    <w:rsid w:val="000A2E68"/>
    <w:rsid w:val="000A45AB"/>
    <w:rsid w:val="000B0078"/>
    <w:rsid w:val="000B0690"/>
    <w:rsid w:val="000B3B58"/>
    <w:rsid w:val="000B3D2F"/>
    <w:rsid w:val="000B3EFD"/>
    <w:rsid w:val="000B659B"/>
    <w:rsid w:val="000B6E9F"/>
    <w:rsid w:val="000C3DB1"/>
    <w:rsid w:val="000C54ED"/>
    <w:rsid w:val="000C5C02"/>
    <w:rsid w:val="000C6143"/>
    <w:rsid w:val="000C7382"/>
    <w:rsid w:val="000D1ED6"/>
    <w:rsid w:val="000D35BD"/>
    <w:rsid w:val="000D6E4B"/>
    <w:rsid w:val="000D71CF"/>
    <w:rsid w:val="000D7225"/>
    <w:rsid w:val="000D722C"/>
    <w:rsid w:val="000E0485"/>
    <w:rsid w:val="000E2E7D"/>
    <w:rsid w:val="000E34BA"/>
    <w:rsid w:val="000E34F3"/>
    <w:rsid w:val="000E4205"/>
    <w:rsid w:val="000E72A0"/>
    <w:rsid w:val="000E7CF6"/>
    <w:rsid w:val="000F034D"/>
    <w:rsid w:val="000F0433"/>
    <w:rsid w:val="000F1D3C"/>
    <w:rsid w:val="000F3D5D"/>
    <w:rsid w:val="000F4243"/>
    <w:rsid w:val="000F4811"/>
    <w:rsid w:val="000F4ABF"/>
    <w:rsid w:val="000F4B2B"/>
    <w:rsid w:val="000F5B66"/>
    <w:rsid w:val="000F5FF6"/>
    <w:rsid w:val="000F65C5"/>
    <w:rsid w:val="000F7056"/>
    <w:rsid w:val="000F7D2C"/>
    <w:rsid w:val="00100193"/>
    <w:rsid w:val="00100F0C"/>
    <w:rsid w:val="001025A3"/>
    <w:rsid w:val="001036A0"/>
    <w:rsid w:val="0010457E"/>
    <w:rsid w:val="0010540B"/>
    <w:rsid w:val="001065F5"/>
    <w:rsid w:val="0010678E"/>
    <w:rsid w:val="001074AB"/>
    <w:rsid w:val="00110417"/>
    <w:rsid w:val="00110AB0"/>
    <w:rsid w:val="00111E3E"/>
    <w:rsid w:val="0011258E"/>
    <w:rsid w:val="001126F6"/>
    <w:rsid w:val="00112F03"/>
    <w:rsid w:val="00115E7F"/>
    <w:rsid w:val="0011696D"/>
    <w:rsid w:val="00117CE3"/>
    <w:rsid w:val="00121681"/>
    <w:rsid w:val="00121ED8"/>
    <w:rsid w:val="00122035"/>
    <w:rsid w:val="00122F58"/>
    <w:rsid w:val="0012352A"/>
    <w:rsid w:val="00123BCB"/>
    <w:rsid w:val="0012411A"/>
    <w:rsid w:val="001242DE"/>
    <w:rsid w:val="00124929"/>
    <w:rsid w:val="00125B8C"/>
    <w:rsid w:val="0012647A"/>
    <w:rsid w:val="00127044"/>
    <w:rsid w:val="001303B2"/>
    <w:rsid w:val="00130EED"/>
    <w:rsid w:val="00130F7B"/>
    <w:rsid w:val="00131F1B"/>
    <w:rsid w:val="0013364F"/>
    <w:rsid w:val="001336CE"/>
    <w:rsid w:val="00133AAF"/>
    <w:rsid w:val="00133B98"/>
    <w:rsid w:val="0013472F"/>
    <w:rsid w:val="00134733"/>
    <w:rsid w:val="001359ED"/>
    <w:rsid w:val="00135B61"/>
    <w:rsid w:val="00136797"/>
    <w:rsid w:val="001405C2"/>
    <w:rsid w:val="00140B25"/>
    <w:rsid w:val="00142F4F"/>
    <w:rsid w:val="001450DF"/>
    <w:rsid w:val="0014734D"/>
    <w:rsid w:val="00151CC7"/>
    <w:rsid w:val="00152B36"/>
    <w:rsid w:val="001530B2"/>
    <w:rsid w:val="001543E7"/>
    <w:rsid w:val="00154456"/>
    <w:rsid w:val="00154508"/>
    <w:rsid w:val="00154F7A"/>
    <w:rsid w:val="00155B77"/>
    <w:rsid w:val="00156867"/>
    <w:rsid w:val="00157C4D"/>
    <w:rsid w:val="00160569"/>
    <w:rsid w:val="00160CEC"/>
    <w:rsid w:val="00161E2F"/>
    <w:rsid w:val="001624A3"/>
    <w:rsid w:val="001624DA"/>
    <w:rsid w:val="00162AA1"/>
    <w:rsid w:val="00162BF5"/>
    <w:rsid w:val="00164B60"/>
    <w:rsid w:val="00165862"/>
    <w:rsid w:val="00165E23"/>
    <w:rsid w:val="00166B3A"/>
    <w:rsid w:val="00170099"/>
    <w:rsid w:val="00170194"/>
    <w:rsid w:val="00170927"/>
    <w:rsid w:val="0017092A"/>
    <w:rsid w:val="00170A6E"/>
    <w:rsid w:val="00172B90"/>
    <w:rsid w:val="00173A2B"/>
    <w:rsid w:val="00173CE1"/>
    <w:rsid w:val="00174417"/>
    <w:rsid w:val="001749CF"/>
    <w:rsid w:val="001750FE"/>
    <w:rsid w:val="00175E88"/>
    <w:rsid w:val="00175FA5"/>
    <w:rsid w:val="00176B8E"/>
    <w:rsid w:val="001770F3"/>
    <w:rsid w:val="001774A0"/>
    <w:rsid w:val="00177BCC"/>
    <w:rsid w:val="0018179B"/>
    <w:rsid w:val="0018251A"/>
    <w:rsid w:val="00183463"/>
    <w:rsid w:val="001846FB"/>
    <w:rsid w:val="00184D1D"/>
    <w:rsid w:val="001860DF"/>
    <w:rsid w:val="00191737"/>
    <w:rsid w:val="00194E69"/>
    <w:rsid w:val="001968BC"/>
    <w:rsid w:val="00197DD9"/>
    <w:rsid w:val="001A059E"/>
    <w:rsid w:val="001A05F5"/>
    <w:rsid w:val="001A1C12"/>
    <w:rsid w:val="001A418D"/>
    <w:rsid w:val="001A422B"/>
    <w:rsid w:val="001A502C"/>
    <w:rsid w:val="001A57DB"/>
    <w:rsid w:val="001A586B"/>
    <w:rsid w:val="001A73F1"/>
    <w:rsid w:val="001A77E8"/>
    <w:rsid w:val="001B1360"/>
    <w:rsid w:val="001B1BB1"/>
    <w:rsid w:val="001B1D26"/>
    <w:rsid w:val="001B1D7F"/>
    <w:rsid w:val="001B1E1E"/>
    <w:rsid w:val="001B25A3"/>
    <w:rsid w:val="001B2F76"/>
    <w:rsid w:val="001B2F82"/>
    <w:rsid w:val="001B396B"/>
    <w:rsid w:val="001B44A7"/>
    <w:rsid w:val="001B4B9C"/>
    <w:rsid w:val="001B57A4"/>
    <w:rsid w:val="001B72EB"/>
    <w:rsid w:val="001B7D0D"/>
    <w:rsid w:val="001B7F6F"/>
    <w:rsid w:val="001C13E9"/>
    <w:rsid w:val="001C3886"/>
    <w:rsid w:val="001C4148"/>
    <w:rsid w:val="001C432A"/>
    <w:rsid w:val="001C469F"/>
    <w:rsid w:val="001C6DD2"/>
    <w:rsid w:val="001C78FF"/>
    <w:rsid w:val="001D0B29"/>
    <w:rsid w:val="001D1C27"/>
    <w:rsid w:val="001D2A8B"/>
    <w:rsid w:val="001D3ED4"/>
    <w:rsid w:val="001D48EE"/>
    <w:rsid w:val="001D49AC"/>
    <w:rsid w:val="001D4B2D"/>
    <w:rsid w:val="001D4BC9"/>
    <w:rsid w:val="001D4FE1"/>
    <w:rsid w:val="001D78FF"/>
    <w:rsid w:val="001E0062"/>
    <w:rsid w:val="001E0387"/>
    <w:rsid w:val="001E223F"/>
    <w:rsid w:val="001E4374"/>
    <w:rsid w:val="001E49AE"/>
    <w:rsid w:val="001E4A82"/>
    <w:rsid w:val="001E4C0D"/>
    <w:rsid w:val="001E4E95"/>
    <w:rsid w:val="001E55CB"/>
    <w:rsid w:val="001E631F"/>
    <w:rsid w:val="001E6744"/>
    <w:rsid w:val="001E68EF"/>
    <w:rsid w:val="001F0A69"/>
    <w:rsid w:val="001F1728"/>
    <w:rsid w:val="001F2658"/>
    <w:rsid w:val="001F3AD6"/>
    <w:rsid w:val="001F3C4B"/>
    <w:rsid w:val="001F3CCB"/>
    <w:rsid w:val="001F63BD"/>
    <w:rsid w:val="001F6775"/>
    <w:rsid w:val="001F69BF"/>
    <w:rsid w:val="00200449"/>
    <w:rsid w:val="00200523"/>
    <w:rsid w:val="0020097F"/>
    <w:rsid w:val="00200DF8"/>
    <w:rsid w:val="0020123C"/>
    <w:rsid w:val="0020196F"/>
    <w:rsid w:val="002024E9"/>
    <w:rsid w:val="002026C0"/>
    <w:rsid w:val="002047F3"/>
    <w:rsid w:val="0020590E"/>
    <w:rsid w:val="00205EB2"/>
    <w:rsid w:val="00205FEC"/>
    <w:rsid w:val="0020639A"/>
    <w:rsid w:val="00210857"/>
    <w:rsid w:val="002119A2"/>
    <w:rsid w:val="00211F5B"/>
    <w:rsid w:val="00213632"/>
    <w:rsid w:val="0021388F"/>
    <w:rsid w:val="00215F66"/>
    <w:rsid w:val="0021712C"/>
    <w:rsid w:val="0022162D"/>
    <w:rsid w:val="00221937"/>
    <w:rsid w:val="002222A4"/>
    <w:rsid w:val="00224018"/>
    <w:rsid w:val="0022633B"/>
    <w:rsid w:val="00226F9D"/>
    <w:rsid w:val="00230ED7"/>
    <w:rsid w:val="00230F4A"/>
    <w:rsid w:val="002319B1"/>
    <w:rsid w:val="00231B08"/>
    <w:rsid w:val="00232A54"/>
    <w:rsid w:val="0023376E"/>
    <w:rsid w:val="0023523A"/>
    <w:rsid w:val="00235E45"/>
    <w:rsid w:val="002366EB"/>
    <w:rsid w:val="00236C4F"/>
    <w:rsid w:val="002379DD"/>
    <w:rsid w:val="00237FDB"/>
    <w:rsid w:val="0024053C"/>
    <w:rsid w:val="0024212E"/>
    <w:rsid w:val="002436C1"/>
    <w:rsid w:val="00243DF5"/>
    <w:rsid w:val="00244E6D"/>
    <w:rsid w:val="00245106"/>
    <w:rsid w:val="00245D03"/>
    <w:rsid w:val="0024748B"/>
    <w:rsid w:val="00247A34"/>
    <w:rsid w:val="00247A7D"/>
    <w:rsid w:val="0025150E"/>
    <w:rsid w:val="00252198"/>
    <w:rsid w:val="00252B51"/>
    <w:rsid w:val="00253997"/>
    <w:rsid w:val="0025423C"/>
    <w:rsid w:val="00254A3C"/>
    <w:rsid w:val="00254A8B"/>
    <w:rsid w:val="00256E57"/>
    <w:rsid w:val="0025744E"/>
    <w:rsid w:val="002579CC"/>
    <w:rsid w:val="002659F1"/>
    <w:rsid w:val="0026641B"/>
    <w:rsid w:val="002672C8"/>
    <w:rsid w:val="00270665"/>
    <w:rsid w:val="00272261"/>
    <w:rsid w:val="00272C53"/>
    <w:rsid w:val="00272E20"/>
    <w:rsid w:val="00273681"/>
    <w:rsid w:val="00273B34"/>
    <w:rsid w:val="00273B74"/>
    <w:rsid w:val="00274D47"/>
    <w:rsid w:val="00274FAF"/>
    <w:rsid w:val="0027510A"/>
    <w:rsid w:val="00276200"/>
    <w:rsid w:val="002765F4"/>
    <w:rsid w:val="00276883"/>
    <w:rsid w:val="00277498"/>
    <w:rsid w:val="00277C1F"/>
    <w:rsid w:val="002808A9"/>
    <w:rsid w:val="002821D7"/>
    <w:rsid w:val="00282F20"/>
    <w:rsid w:val="002872D2"/>
    <w:rsid w:val="0029004F"/>
    <w:rsid w:val="00291B84"/>
    <w:rsid w:val="00292B19"/>
    <w:rsid w:val="00292B5E"/>
    <w:rsid w:val="00292FFC"/>
    <w:rsid w:val="002932FC"/>
    <w:rsid w:val="0029429C"/>
    <w:rsid w:val="00294431"/>
    <w:rsid w:val="00294B49"/>
    <w:rsid w:val="00295538"/>
    <w:rsid w:val="00297034"/>
    <w:rsid w:val="002A046A"/>
    <w:rsid w:val="002A1262"/>
    <w:rsid w:val="002A23E0"/>
    <w:rsid w:val="002A2E20"/>
    <w:rsid w:val="002A32DF"/>
    <w:rsid w:val="002A46D7"/>
    <w:rsid w:val="002A6980"/>
    <w:rsid w:val="002A7DF5"/>
    <w:rsid w:val="002A7E94"/>
    <w:rsid w:val="002B0795"/>
    <w:rsid w:val="002B2620"/>
    <w:rsid w:val="002B3225"/>
    <w:rsid w:val="002B5694"/>
    <w:rsid w:val="002B605E"/>
    <w:rsid w:val="002B657A"/>
    <w:rsid w:val="002C021F"/>
    <w:rsid w:val="002C1C54"/>
    <w:rsid w:val="002C2056"/>
    <w:rsid w:val="002C23F7"/>
    <w:rsid w:val="002C320F"/>
    <w:rsid w:val="002C3367"/>
    <w:rsid w:val="002C622F"/>
    <w:rsid w:val="002C6D69"/>
    <w:rsid w:val="002C7016"/>
    <w:rsid w:val="002C7117"/>
    <w:rsid w:val="002C7CB4"/>
    <w:rsid w:val="002D0706"/>
    <w:rsid w:val="002D29FD"/>
    <w:rsid w:val="002D2AEC"/>
    <w:rsid w:val="002D2C1F"/>
    <w:rsid w:val="002D3635"/>
    <w:rsid w:val="002D5411"/>
    <w:rsid w:val="002D5589"/>
    <w:rsid w:val="002D727A"/>
    <w:rsid w:val="002E00B8"/>
    <w:rsid w:val="002E0589"/>
    <w:rsid w:val="002E1382"/>
    <w:rsid w:val="002E3A84"/>
    <w:rsid w:val="002E6AD0"/>
    <w:rsid w:val="002E6F55"/>
    <w:rsid w:val="002F0E4E"/>
    <w:rsid w:val="002F2771"/>
    <w:rsid w:val="002F344B"/>
    <w:rsid w:val="002F403C"/>
    <w:rsid w:val="002F561E"/>
    <w:rsid w:val="002F709A"/>
    <w:rsid w:val="002F77A8"/>
    <w:rsid w:val="00301619"/>
    <w:rsid w:val="00301AD3"/>
    <w:rsid w:val="00301E80"/>
    <w:rsid w:val="00302755"/>
    <w:rsid w:val="003039FF"/>
    <w:rsid w:val="00304D18"/>
    <w:rsid w:val="00305A15"/>
    <w:rsid w:val="00306353"/>
    <w:rsid w:val="00306D41"/>
    <w:rsid w:val="00307094"/>
    <w:rsid w:val="00307342"/>
    <w:rsid w:val="00310A72"/>
    <w:rsid w:val="0031143A"/>
    <w:rsid w:val="00311C18"/>
    <w:rsid w:val="0031298C"/>
    <w:rsid w:val="00313619"/>
    <w:rsid w:val="00313D52"/>
    <w:rsid w:val="00314235"/>
    <w:rsid w:val="0032098B"/>
    <w:rsid w:val="003222FC"/>
    <w:rsid w:val="003227E7"/>
    <w:rsid w:val="00325D85"/>
    <w:rsid w:val="0032607C"/>
    <w:rsid w:val="00326E7B"/>
    <w:rsid w:val="0033166C"/>
    <w:rsid w:val="003324AE"/>
    <w:rsid w:val="00332C6A"/>
    <w:rsid w:val="0033358A"/>
    <w:rsid w:val="00333937"/>
    <w:rsid w:val="003342B8"/>
    <w:rsid w:val="0033504B"/>
    <w:rsid w:val="003362C7"/>
    <w:rsid w:val="00336A5A"/>
    <w:rsid w:val="00337AA0"/>
    <w:rsid w:val="00337DE3"/>
    <w:rsid w:val="00342ADB"/>
    <w:rsid w:val="00343B0F"/>
    <w:rsid w:val="00343D4D"/>
    <w:rsid w:val="00347006"/>
    <w:rsid w:val="00347D0D"/>
    <w:rsid w:val="003503AE"/>
    <w:rsid w:val="00351D8C"/>
    <w:rsid w:val="0035213A"/>
    <w:rsid w:val="00353419"/>
    <w:rsid w:val="00353F27"/>
    <w:rsid w:val="00355D35"/>
    <w:rsid w:val="00356BEA"/>
    <w:rsid w:val="0035741C"/>
    <w:rsid w:val="00360094"/>
    <w:rsid w:val="003627FB"/>
    <w:rsid w:val="00362826"/>
    <w:rsid w:val="00363EEF"/>
    <w:rsid w:val="0036403D"/>
    <w:rsid w:val="0036406A"/>
    <w:rsid w:val="0036455C"/>
    <w:rsid w:val="003656BF"/>
    <w:rsid w:val="00366074"/>
    <w:rsid w:val="003661FF"/>
    <w:rsid w:val="00367122"/>
    <w:rsid w:val="00367428"/>
    <w:rsid w:val="003676E9"/>
    <w:rsid w:val="0037083D"/>
    <w:rsid w:val="00372402"/>
    <w:rsid w:val="003724FE"/>
    <w:rsid w:val="003726C4"/>
    <w:rsid w:val="003732C5"/>
    <w:rsid w:val="00374086"/>
    <w:rsid w:val="00374DFE"/>
    <w:rsid w:val="003758DB"/>
    <w:rsid w:val="00375BEB"/>
    <w:rsid w:val="00375DA9"/>
    <w:rsid w:val="00377518"/>
    <w:rsid w:val="003800B4"/>
    <w:rsid w:val="003809E0"/>
    <w:rsid w:val="003814E2"/>
    <w:rsid w:val="00381E88"/>
    <w:rsid w:val="003821F9"/>
    <w:rsid w:val="003827CD"/>
    <w:rsid w:val="00383A99"/>
    <w:rsid w:val="00383D6D"/>
    <w:rsid w:val="003852EF"/>
    <w:rsid w:val="003870EE"/>
    <w:rsid w:val="0038729B"/>
    <w:rsid w:val="00387A01"/>
    <w:rsid w:val="003926B7"/>
    <w:rsid w:val="00393452"/>
    <w:rsid w:val="00394C2C"/>
    <w:rsid w:val="00395441"/>
    <w:rsid w:val="00396F85"/>
    <w:rsid w:val="0039723A"/>
    <w:rsid w:val="003A1CB9"/>
    <w:rsid w:val="003A27B8"/>
    <w:rsid w:val="003A2B7D"/>
    <w:rsid w:val="003A3D8C"/>
    <w:rsid w:val="003A3E40"/>
    <w:rsid w:val="003A539D"/>
    <w:rsid w:val="003A59F9"/>
    <w:rsid w:val="003A5F79"/>
    <w:rsid w:val="003A5FA1"/>
    <w:rsid w:val="003A6124"/>
    <w:rsid w:val="003A6CA4"/>
    <w:rsid w:val="003A7623"/>
    <w:rsid w:val="003B1725"/>
    <w:rsid w:val="003B242C"/>
    <w:rsid w:val="003B324C"/>
    <w:rsid w:val="003B4CE4"/>
    <w:rsid w:val="003B4D64"/>
    <w:rsid w:val="003B5DFB"/>
    <w:rsid w:val="003B6220"/>
    <w:rsid w:val="003B76DC"/>
    <w:rsid w:val="003C13CA"/>
    <w:rsid w:val="003C1E93"/>
    <w:rsid w:val="003C2161"/>
    <w:rsid w:val="003C31CD"/>
    <w:rsid w:val="003C3D4A"/>
    <w:rsid w:val="003C596C"/>
    <w:rsid w:val="003D03AF"/>
    <w:rsid w:val="003D07CA"/>
    <w:rsid w:val="003D1FE5"/>
    <w:rsid w:val="003D3735"/>
    <w:rsid w:val="003D497A"/>
    <w:rsid w:val="003D5148"/>
    <w:rsid w:val="003D6081"/>
    <w:rsid w:val="003D6720"/>
    <w:rsid w:val="003D6B3F"/>
    <w:rsid w:val="003D7951"/>
    <w:rsid w:val="003E030F"/>
    <w:rsid w:val="003E1EFB"/>
    <w:rsid w:val="003E2B26"/>
    <w:rsid w:val="003E4299"/>
    <w:rsid w:val="003E6D92"/>
    <w:rsid w:val="003E6F85"/>
    <w:rsid w:val="003E70B9"/>
    <w:rsid w:val="003E7812"/>
    <w:rsid w:val="003F2136"/>
    <w:rsid w:val="003F277A"/>
    <w:rsid w:val="003F31E6"/>
    <w:rsid w:val="003F40F9"/>
    <w:rsid w:val="003F4C40"/>
    <w:rsid w:val="003F52FE"/>
    <w:rsid w:val="003F580D"/>
    <w:rsid w:val="003F61D7"/>
    <w:rsid w:val="003F780E"/>
    <w:rsid w:val="00401F3A"/>
    <w:rsid w:val="00402686"/>
    <w:rsid w:val="0040272E"/>
    <w:rsid w:val="00402EA0"/>
    <w:rsid w:val="00403452"/>
    <w:rsid w:val="0040350A"/>
    <w:rsid w:val="00403F44"/>
    <w:rsid w:val="004041C9"/>
    <w:rsid w:val="004062F1"/>
    <w:rsid w:val="0040793A"/>
    <w:rsid w:val="004079CC"/>
    <w:rsid w:val="004106A7"/>
    <w:rsid w:val="00410F85"/>
    <w:rsid w:val="00412823"/>
    <w:rsid w:val="0041382E"/>
    <w:rsid w:val="00413D00"/>
    <w:rsid w:val="00414410"/>
    <w:rsid w:val="0041442A"/>
    <w:rsid w:val="00414992"/>
    <w:rsid w:val="00416ED0"/>
    <w:rsid w:val="004175B0"/>
    <w:rsid w:val="00421C9B"/>
    <w:rsid w:val="004233D8"/>
    <w:rsid w:val="00423C6E"/>
    <w:rsid w:val="00423ED9"/>
    <w:rsid w:val="00425F90"/>
    <w:rsid w:val="00426041"/>
    <w:rsid w:val="00426CBC"/>
    <w:rsid w:val="00427CC0"/>
    <w:rsid w:val="0043002F"/>
    <w:rsid w:val="004303B3"/>
    <w:rsid w:val="004305C9"/>
    <w:rsid w:val="00430927"/>
    <w:rsid w:val="0043097E"/>
    <w:rsid w:val="0043308A"/>
    <w:rsid w:val="00433113"/>
    <w:rsid w:val="00433F87"/>
    <w:rsid w:val="00434262"/>
    <w:rsid w:val="0043673C"/>
    <w:rsid w:val="00436801"/>
    <w:rsid w:val="00437DA0"/>
    <w:rsid w:val="004412CE"/>
    <w:rsid w:val="00441312"/>
    <w:rsid w:val="00441ED0"/>
    <w:rsid w:val="00442603"/>
    <w:rsid w:val="00442BF4"/>
    <w:rsid w:val="00444898"/>
    <w:rsid w:val="004457E4"/>
    <w:rsid w:val="00445E88"/>
    <w:rsid w:val="004506BE"/>
    <w:rsid w:val="004509F6"/>
    <w:rsid w:val="00453254"/>
    <w:rsid w:val="00453540"/>
    <w:rsid w:val="0045366F"/>
    <w:rsid w:val="00453F4D"/>
    <w:rsid w:val="00455C1F"/>
    <w:rsid w:val="00455D49"/>
    <w:rsid w:val="00455DF1"/>
    <w:rsid w:val="00456A0F"/>
    <w:rsid w:val="00460F22"/>
    <w:rsid w:val="00463619"/>
    <w:rsid w:val="0046446A"/>
    <w:rsid w:val="004645D0"/>
    <w:rsid w:val="00464A97"/>
    <w:rsid w:val="00464FA6"/>
    <w:rsid w:val="004651E5"/>
    <w:rsid w:val="004673A5"/>
    <w:rsid w:val="00467543"/>
    <w:rsid w:val="004676E4"/>
    <w:rsid w:val="0046796E"/>
    <w:rsid w:val="00467E09"/>
    <w:rsid w:val="00470519"/>
    <w:rsid w:val="004707EC"/>
    <w:rsid w:val="00470F11"/>
    <w:rsid w:val="0047173F"/>
    <w:rsid w:val="00471A65"/>
    <w:rsid w:val="0047215E"/>
    <w:rsid w:val="004722FE"/>
    <w:rsid w:val="00472764"/>
    <w:rsid w:val="00472A2C"/>
    <w:rsid w:val="004739B2"/>
    <w:rsid w:val="00473ED0"/>
    <w:rsid w:val="00474D99"/>
    <w:rsid w:val="004758B6"/>
    <w:rsid w:val="004761F8"/>
    <w:rsid w:val="0047624F"/>
    <w:rsid w:val="00476551"/>
    <w:rsid w:val="00476764"/>
    <w:rsid w:val="00477506"/>
    <w:rsid w:val="00477994"/>
    <w:rsid w:val="00480ED0"/>
    <w:rsid w:val="00481CB0"/>
    <w:rsid w:val="00482251"/>
    <w:rsid w:val="00482CC2"/>
    <w:rsid w:val="004835E4"/>
    <w:rsid w:val="00483838"/>
    <w:rsid w:val="00483A00"/>
    <w:rsid w:val="00483D82"/>
    <w:rsid w:val="00484CF0"/>
    <w:rsid w:val="00484D6A"/>
    <w:rsid w:val="004856F7"/>
    <w:rsid w:val="00485E98"/>
    <w:rsid w:val="00485EE5"/>
    <w:rsid w:val="00487169"/>
    <w:rsid w:val="00490405"/>
    <w:rsid w:val="00490539"/>
    <w:rsid w:val="004907EE"/>
    <w:rsid w:val="004910C2"/>
    <w:rsid w:val="00491342"/>
    <w:rsid w:val="00491B25"/>
    <w:rsid w:val="004923DC"/>
    <w:rsid w:val="004925DF"/>
    <w:rsid w:val="004929D1"/>
    <w:rsid w:val="004939CA"/>
    <w:rsid w:val="00497D5C"/>
    <w:rsid w:val="004A243A"/>
    <w:rsid w:val="004A2756"/>
    <w:rsid w:val="004A49CD"/>
    <w:rsid w:val="004A4AED"/>
    <w:rsid w:val="004A58D1"/>
    <w:rsid w:val="004A5E88"/>
    <w:rsid w:val="004A65C0"/>
    <w:rsid w:val="004A6C11"/>
    <w:rsid w:val="004A74CE"/>
    <w:rsid w:val="004B1E66"/>
    <w:rsid w:val="004B2EC3"/>
    <w:rsid w:val="004B4001"/>
    <w:rsid w:val="004B4B39"/>
    <w:rsid w:val="004B6EA9"/>
    <w:rsid w:val="004B735F"/>
    <w:rsid w:val="004B77FF"/>
    <w:rsid w:val="004B7F73"/>
    <w:rsid w:val="004C0D55"/>
    <w:rsid w:val="004C0F0C"/>
    <w:rsid w:val="004C187B"/>
    <w:rsid w:val="004C1C90"/>
    <w:rsid w:val="004C49FA"/>
    <w:rsid w:val="004C4C9B"/>
    <w:rsid w:val="004C4EA4"/>
    <w:rsid w:val="004C701F"/>
    <w:rsid w:val="004C7C47"/>
    <w:rsid w:val="004D0388"/>
    <w:rsid w:val="004D0478"/>
    <w:rsid w:val="004D0A93"/>
    <w:rsid w:val="004D20F5"/>
    <w:rsid w:val="004D34DD"/>
    <w:rsid w:val="004D382B"/>
    <w:rsid w:val="004D3B10"/>
    <w:rsid w:val="004D49D8"/>
    <w:rsid w:val="004D6E8F"/>
    <w:rsid w:val="004D73A7"/>
    <w:rsid w:val="004D73BA"/>
    <w:rsid w:val="004D7BA3"/>
    <w:rsid w:val="004E1FFC"/>
    <w:rsid w:val="004E3B6D"/>
    <w:rsid w:val="004E3C6A"/>
    <w:rsid w:val="004E46B0"/>
    <w:rsid w:val="004E594D"/>
    <w:rsid w:val="004E645B"/>
    <w:rsid w:val="004F0A8A"/>
    <w:rsid w:val="004F3425"/>
    <w:rsid w:val="004F369D"/>
    <w:rsid w:val="004F3AC9"/>
    <w:rsid w:val="004F3E2D"/>
    <w:rsid w:val="004F3E60"/>
    <w:rsid w:val="004F46F0"/>
    <w:rsid w:val="004F4F78"/>
    <w:rsid w:val="004F55EC"/>
    <w:rsid w:val="005011AD"/>
    <w:rsid w:val="005013A2"/>
    <w:rsid w:val="005032A0"/>
    <w:rsid w:val="0050386F"/>
    <w:rsid w:val="00503982"/>
    <w:rsid w:val="005041D5"/>
    <w:rsid w:val="00506806"/>
    <w:rsid w:val="005071D2"/>
    <w:rsid w:val="00510526"/>
    <w:rsid w:val="00510823"/>
    <w:rsid w:val="0051208D"/>
    <w:rsid w:val="00512670"/>
    <w:rsid w:val="00512AC8"/>
    <w:rsid w:val="00515789"/>
    <w:rsid w:val="00516DA1"/>
    <w:rsid w:val="005201F1"/>
    <w:rsid w:val="0052073F"/>
    <w:rsid w:val="00520ACC"/>
    <w:rsid w:val="00520B0B"/>
    <w:rsid w:val="005212D4"/>
    <w:rsid w:val="00521859"/>
    <w:rsid w:val="00522AA1"/>
    <w:rsid w:val="0052415B"/>
    <w:rsid w:val="00526313"/>
    <w:rsid w:val="005266CB"/>
    <w:rsid w:val="00527FBD"/>
    <w:rsid w:val="0053069A"/>
    <w:rsid w:val="005308B0"/>
    <w:rsid w:val="0053444E"/>
    <w:rsid w:val="0053487E"/>
    <w:rsid w:val="0053510C"/>
    <w:rsid w:val="005362B4"/>
    <w:rsid w:val="0053633A"/>
    <w:rsid w:val="00536E3A"/>
    <w:rsid w:val="005400DC"/>
    <w:rsid w:val="00540E77"/>
    <w:rsid w:val="00542940"/>
    <w:rsid w:val="00542A74"/>
    <w:rsid w:val="00542CCA"/>
    <w:rsid w:val="0054309D"/>
    <w:rsid w:val="005436F3"/>
    <w:rsid w:val="00544451"/>
    <w:rsid w:val="005449D5"/>
    <w:rsid w:val="00544A6C"/>
    <w:rsid w:val="00551427"/>
    <w:rsid w:val="00551C0A"/>
    <w:rsid w:val="005532D9"/>
    <w:rsid w:val="005542EF"/>
    <w:rsid w:val="00554430"/>
    <w:rsid w:val="00555F85"/>
    <w:rsid w:val="0055630E"/>
    <w:rsid w:val="005567F7"/>
    <w:rsid w:val="00560551"/>
    <w:rsid w:val="00561FE9"/>
    <w:rsid w:val="00562804"/>
    <w:rsid w:val="00563061"/>
    <w:rsid w:val="00564093"/>
    <w:rsid w:val="00564DFE"/>
    <w:rsid w:val="00564F46"/>
    <w:rsid w:val="005659B2"/>
    <w:rsid w:val="00566CB6"/>
    <w:rsid w:val="00567AAC"/>
    <w:rsid w:val="0057295B"/>
    <w:rsid w:val="00572A2F"/>
    <w:rsid w:val="00572C28"/>
    <w:rsid w:val="00572D91"/>
    <w:rsid w:val="00574893"/>
    <w:rsid w:val="005753ED"/>
    <w:rsid w:val="00575E03"/>
    <w:rsid w:val="00576B9E"/>
    <w:rsid w:val="00577555"/>
    <w:rsid w:val="005803FA"/>
    <w:rsid w:val="005827DA"/>
    <w:rsid w:val="0058356E"/>
    <w:rsid w:val="00583A5E"/>
    <w:rsid w:val="00585DCB"/>
    <w:rsid w:val="005865C7"/>
    <w:rsid w:val="00590CD8"/>
    <w:rsid w:val="00593310"/>
    <w:rsid w:val="0059593D"/>
    <w:rsid w:val="00595C4D"/>
    <w:rsid w:val="00597498"/>
    <w:rsid w:val="0059767A"/>
    <w:rsid w:val="00597A01"/>
    <w:rsid w:val="00597B28"/>
    <w:rsid w:val="005A0462"/>
    <w:rsid w:val="005A43FC"/>
    <w:rsid w:val="005A588A"/>
    <w:rsid w:val="005A6007"/>
    <w:rsid w:val="005A6752"/>
    <w:rsid w:val="005A6DE4"/>
    <w:rsid w:val="005A7236"/>
    <w:rsid w:val="005A7777"/>
    <w:rsid w:val="005A7842"/>
    <w:rsid w:val="005B08B3"/>
    <w:rsid w:val="005B0F07"/>
    <w:rsid w:val="005B16D7"/>
    <w:rsid w:val="005B1B3D"/>
    <w:rsid w:val="005B1BB5"/>
    <w:rsid w:val="005B37DB"/>
    <w:rsid w:val="005B3AC2"/>
    <w:rsid w:val="005B439F"/>
    <w:rsid w:val="005B4492"/>
    <w:rsid w:val="005B49CC"/>
    <w:rsid w:val="005B62FA"/>
    <w:rsid w:val="005B6576"/>
    <w:rsid w:val="005C09F1"/>
    <w:rsid w:val="005C0B01"/>
    <w:rsid w:val="005C1CF3"/>
    <w:rsid w:val="005C37A8"/>
    <w:rsid w:val="005C3B0D"/>
    <w:rsid w:val="005C4B2D"/>
    <w:rsid w:val="005C5BC2"/>
    <w:rsid w:val="005C72E9"/>
    <w:rsid w:val="005C79F4"/>
    <w:rsid w:val="005D0472"/>
    <w:rsid w:val="005D163E"/>
    <w:rsid w:val="005D33A6"/>
    <w:rsid w:val="005D4199"/>
    <w:rsid w:val="005D4D03"/>
    <w:rsid w:val="005D5292"/>
    <w:rsid w:val="005D5470"/>
    <w:rsid w:val="005D637B"/>
    <w:rsid w:val="005D6B93"/>
    <w:rsid w:val="005E0829"/>
    <w:rsid w:val="005E14F6"/>
    <w:rsid w:val="005E162C"/>
    <w:rsid w:val="005E26A1"/>
    <w:rsid w:val="005E2B12"/>
    <w:rsid w:val="005E2D33"/>
    <w:rsid w:val="005E3651"/>
    <w:rsid w:val="005E43ED"/>
    <w:rsid w:val="005E494F"/>
    <w:rsid w:val="005E5312"/>
    <w:rsid w:val="005E588E"/>
    <w:rsid w:val="005E5B8D"/>
    <w:rsid w:val="005E5F0F"/>
    <w:rsid w:val="005E695B"/>
    <w:rsid w:val="005F0E22"/>
    <w:rsid w:val="005F1547"/>
    <w:rsid w:val="005F1604"/>
    <w:rsid w:val="005F24F4"/>
    <w:rsid w:val="005F2903"/>
    <w:rsid w:val="005F31D7"/>
    <w:rsid w:val="005F3AA3"/>
    <w:rsid w:val="005F537F"/>
    <w:rsid w:val="005F5931"/>
    <w:rsid w:val="005F7D07"/>
    <w:rsid w:val="0060020D"/>
    <w:rsid w:val="00602794"/>
    <w:rsid w:val="00602CF4"/>
    <w:rsid w:val="00604135"/>
    <w:rsid w:val="006058CB"/>
    <w:rsid w:val="00605AFB"/>
    <w:rsid w:val="0060733C"/>
    <w:rsid w:val="00607C36"/>
    <w:rsid w:val="0061140B"/>
    <w:rsid w:val="00613453"/>
    <w:rsid w:val="0061470B"/>
    <w:rsid w:val="00614908"/>
    <w:rsid w:val="00615029"/>
    <w:rsid w:val="00616593"/>
    <w:rsid w:val="00616AE1"/>
    <w:rsid w:val="00617F6B"/>
    <w:rsid w:val="0062067C"/>
    <w:rsid w:val="006214AD"/>
    <w:rsid w:val="0062541F"/>
    <w:rsid w:val="00625863"/>
    <w:rsid w:val="006260E5"/>
    <w:rsid w:val="0062683F"/>
    <w:rsid w:val="00627B69"/>
    <w:rsid w:val="00633754"/>
    <w:rsid w:val="006348F4"/>
    <w:rsid w:val="006358BE"/>
    <w:rsid w:val="00635B89"/>
    <w:rsid w:val="00635E85"/>
    <w:rsid w:val="00636C4C"/>
    <w:rsid w:val="00636E4B"/>
    <w:rsid w:val="006371FF"/>
    <w:rsid w:val="00643DD9"/>
    <w:rsid w:val="00644A75"/>
    <w:rsid w:val="006452B6"/>
    <w:rsid w:val="00645B41"/>
    <w:rsid w:val="006472A0"/>
    <w:rsid w:val="00651287"/>
    <w:rsid w:val="00651512"/>
    <w:rsid w:val="00653665"/>
    <w:rsid w:val="00653E27"/>
    <w:rsid w:val="00654956"/>
    <w:rsid w:val="00654DE7"/>
    <w:rsid w:val="0065533C"/>
    <w:rsid w:val="00656340"/>
    <w:rsid w:val="00656A9D"/>
    <w:rsid w:val="00656F5E"/>
    <w:rsid w:val="00660D19"/>
    <w:rsid w:val="00662CBC"/>
    <w:rsid w:val="0066449E"/>
    <w:rsid w:val="0067038D"/>
    <w:rsid w:val="00671A6A"/>
    <w:rsid w:val="00673F0C"/>
    <w:rsid w:val="00676223"/>
    <w:rsid w:val="00676A38"/>
    <w:rsid w:val="00680098"/>
    <w:rsid w:val="00680333"/>
    <w:rsid w:val="00680957"/>
    <w:rsid w:val="006821CE"/>
    <w:rsid w:val="00682CFC"/>
    <w:rsid w:val="00683B13"/>
    <w:rsid w:val="00686325"/>
    <w:rsid w:val="00686EC4"/>
    <w:rsid w:val="00687063"/>
    <w:rsid w:val="00687C14"/>
    <w:rsid w:val="00690E37"/>
    <w:rsid w:val="00691425"/>
    <w:rsid w:val="006955A5"/>
    <w:rsid w:val="00695E17"/>
    <w:rsid w:val="00696763"/>
    <w:rsid w:val="0069734A"/>
    <w:rsid w:val="006A139A"/>
    <w:rsid w:val="006A1939"/>
    <w:rsid w:val="006A303A"/>
    <w:rsid w:val="006A45A4"/>
    <w:rsid w:val="006A5C3E"/>
    <w:rsid w:val="006A5CC0"/>
    <w:rsid w:val="006A5DF0"/>
    <w:rsid w:val="006B0367"/>
    <w:rsid w:val="006B06E6"/>
    <w:rsid w:val="006B147C"/>
    <w:rsid w:val="006B1E00"/>
    <w:rsid w:val="006B202A"/>
    <w:rsid w:val="006B3AD9"/>
    <w:rsid w:val="006B3E3B"/>
    <w:rsid w:val="006B4199"/>
    <w:rsid w:val="006B4802"/>
    <w:rsid w:val="006B5097"/>
    <w:rsid w:val="006B5516"/>
    <w:rsid w:val="006B5D36"/>
    <w:rsid w:val="006B7A09"/>
    <w:rsid w:val="006C42CE"/>
    <w:rsid w:val="006C4DE9"/>
    <w:rsid w:val="006C5486"/>
    <w:rsid w:val="006C592D"/>
    <w:rsid w:val="006C5D93"/>
    <w:rsid w:val="006C74B3"/>
    <w:rsid w:val="006D096A"/>
    <w:rsid w:val="006D209C"/>
    <w:rsid w:val="006D3791"/>
    <w:rsid w:val="006D45C7"/>
    <w:rsid w:val="006D465F"/>
    <w:rsid w:val="006D46A6"/>
    <w:rsid w:val="006D4B56"/>
    <w:rsid w:val="006D7209"/>
    <w:rsid w:val="006D7EFF"/>
    <w:rsid w:val="006E11C9"/>
    <w:rsid w:val="006E31AE"/>
    <w:rsid w:val="006E4984"/>
    <w:rsid w:val="006E5E71"/>
    <w:rsid w:val="006E7EFC"/>
    <w:rsid w:val="006F0A6C"/>
    <w:rsid w:val="006F32BF"/>
    <w:rsid w:val="006F3567"/>
    <w:rsid w:val="006F38A2"/>
    <w:rsid w:val="006F38F6"/>
    <w:rsid w:val="006F3989"/>
    <w:rsid w:val="006F4219"/>
    <w:rsid w:val="006F55D6"/>
    <w:rsid w:val="006F575A"/>
    <w:rsid w:val="00700449"/>
    <w:rsid w:val="00700A73"/>
    <w:rsid w:val="00700F46"/>
    <w:rsid w:val="007015E9"/>
    <w:rsid w:val="00702A10"/>
    <w:rsid w:val="0070484E"/>
    <w:rsid w:val="00704ED8"/>
    <w:rsid w:val="0070601C"/>
    <w:rsid w:val="00707008"/>
    <w:rsid w:val="00710993"/>
    <w:rsid w:val="007125C7"/>
    <w:rsid w:val="00712884"/>
    <w:rsid w:val="00713C6D"/>
    <w:rsid w:val="00714D9B"/>
    <w:rsid w:val="00715090"/>
    <w:rsid w:val="00715379"/>
    <w:rsid w:val="0071587A"/>
    <w:rsid w:val="007159EB"/>
    <w:rsid w:val="007160E0"/>
    <w:rsid w:val="00716E3F"/>
    <w:rsid w:val="00717DE7"/>
    <w:rsid w:val="00720629"/>
    <w:rsid w:val="00720B16"/>
    <w:rsid w:val="007219C5"/>
    <w:rsid w:val="00721B5C"/>
    <w:rsid w:val="007223FC"/>
    <w:rsid w:val="00723E51"/>
    <w:rsid w:val="00725B78"/>
    <w:rsid w:val="00725F23"/>
    <w:rsid w:val="007267EB"/>
    <w:rsid w:val="0072737A"/>
    <w:rsid w:val="00730159"/>
    <w:rsid w:val="00730C0D"/>
    <w:rsid w:val="0073129C"/>
    <w:rsid w:val="00731C60"/>
    <w:rsid w:val="00731D68"/>
    <w:rsid w:val="007339DB"/>
    <w:rsid w:val="00735608"/>
    <w:rsid w:val="007356FC"/>
    <w:rsid w:val="00735CE3"/>
    <w:rsid w:val="00736DD5"/>
    <w:rsid w:val="0074101E"/>
    <w:rsid w:val="0074150A"/>
    <w:rsid w:val="00741FEC"/>
    <w:rsid w:val="007433D3"/>
    <w:rsid w:val="00743A86"/>
    <w:rsid w:val="00743F1B"/>
    <w:rsid w:val="00743F6E"/>
    <w:rsid w:val="0074430F"/>
    <w:rsid w:val="007448B9"/>
    <w:rsid w:val="007468E9"/>
    <w:rsid w:val="00746BED"/>
    <w:rsid w:val="00747D71"/>
    <w:rsid w:val="00750288"/>
    <w:rsid w:val="00751BF1"/>
    <w:rsid w:val="007537F1"/>
    <w:rsid w:val="007545CD"/>
    <w:rsid w:val="007549E4"/>
    <w:rsid w:val="00755E18"/>
    <w:rsid w:val="00756643"/>
    <w:rsid w:val="007567FF"/>
    <w:rsid w:val="00756DA9"/>
    <w:rsid w:val="0075794D"/>
    <w:rsid w:val="007608C8"/>
    <w:rsid w:val="00761696"/>
    <w:rsid w:val="007616B5"/>
    <w:rsid w:val="00761834"/>
    <w:rsid w:val="00761D56"/>
    <w:rsid w:val="007620D8"/>
    <w:rsid w:val="007631A8"/>
    <w:rsid w:val="0076420A"/>
    <w:rsid w:val="0076492F"/>
    <w:rsid w:val="0076493D"/>
    <w:rsid w:val="00764D0F"/>
    <w:rsid w:val="00764ED5"/>
    <w:rsid w:val="007665AE"/>
    <w:rsid w:val="007665E7"/>
    <w:rsid w:val="00766AE8"/>
    <w:rsid w:val="00767809"/>
    <w:rsid w:val="00773845"/>
    <w:rsid w:val="007745B6"/>
    <w:rsid w:val="0077605D"/>
    <w:rsid w:val="0077746C"/>
    <w:rsid w:val="007806D6"/>
    <w:rsid w:val="00780896"/>
    <w:rsid w:val="00780E48"/>
    <w:rsid w:val="00780FF2"/>
    <w:rsid w:val="007815A1"/>
    <w:rsid w:val="00783BF6"/>
    <w:rsid w:val="00784BA7"/>
    <w:rsid w:val="0078501F"/>
    <w:rsid w:val="00785229"/>
    <w:rsid w:val="0079186B"/>
    <w:rsid w:val="007919EE"/>
    <w:rsid w:val="0079267C"/>
    <w:rsid w:val="00792A9A"/>
    <w:rsid w:val="00792B29"/>
    <w:rsid w:val="00793312"/>
    <w:rsid w:val="0079391A"/>
    <w:rsid w:val="007943E6"/>
    <w:rsid w:val="00794B5C"/>
    <w:rsid w:val="00794C7A"/>
    <w:rsid w:val="00796A9E"/>
    <w:rsid w:val="00796D05"/>
    <w:rsid w:val="00797687"/>
    <w:rsid w:val="007A0BE3"/>
    <w:rsid w:val="007A25AF"/>
    <w:rsid w:val="007A2AE9"/>
    <w:rsid w:val="007A2DEB"/>
    <w:rsid w:val="007A30A5"/>
    <w:rsid w:val="007A568E"/>
    <w:rsid w:val="007A5FB9"/>
    <w:rsid w:val="007A651C"/>
    <w:rsid w:val="007A664A"/>
    <w:rsid w:val="007A6E4F"/>
    <w:rsid w:val="007A70C6"/>
    <w:rsid w:val="007A7382"/>
    <w:rsid w:val="007A7FF2"/>
    <w:rsid w:val="007B11D0"/>
    <w:rsid w:val="007B189F"/>
    <w:rsid w:val="007B1CB5"/>
    <w:rsid w:val="007B27E9"/>
    <w:rsid w:val="007B2987"/>
    <w:rsid w:val="007B39E1"/>
    <w:rsid w:val="007B6A8F"/>
    <w:rsid w:val="007B70D3"/>
    <w:rsid w:val="007B7D10"/>
    <w:rsid w:val="007C1116"/>
    <w:rsid w:val="007C12D9"/>
    <w:rsid w:val="007C3AA6"/>
    <w:rsid w:val="007C4B93"/>
    <w:rsid w:val="007C4EF2"/>
    <w:rsid w:val="007C55D4"/>
    <w:rsid w:val="007D093F"/>
    <w:rsid w:val="007D0BE8"/>
    <w:rsid w:val="007D0D6D"/>
    <w:rsid w:val="007D283E"/>
    <w:rsid w:val="007D36CA"/>
    <w:rsid w:val="007D4C02"/>
    <w:rsid w:val="007D5920"/>
    <w:rsid w:val="007D6496"/>
    <w:rsid w:val="007D6731"/>
    <w:rsid w:val="007D6837"/>
    <w:rsid w:val="007D7001"/>
    <w:rsid w:val="007D782F"/>
    <w:rsid w:val="007D7E87"/>
    <w:rsid w:val="007E0FEC"/>
    <w:rsid w:val="007E1666"/>
    <w:rsid w:val="007E1ECC"/>
    <w:rsid w:val="007E2A09"/>
    <w:rsid w:val="007E40DD"/>
    <w:rsid w:val="007E4D5F"/>
    <w:rsid w:val="007E52BF"/>
    <w:rsid w:val="007E554E"/>
    <w:rsid w:val="007E594F"/>
    <w:rsid w:val="007E5A59"/>
    <w:rsid w:val="007E71DB"/>
    <w:rsid w:val="007E7C73"/>
    <w:rsid w:val="007F0225"/>
    <w:rsid w:val="007F0AC8"/>
    <w:rsid w:val="007F10CE"/>
    <w:rsid w:val="007F167C"/>
    <w:rsid w:val="007F2066"/>
    <w:rsid w:val="007F2B93"/>
    <w:rsid w:val="007F4005"/>
    <w:rsid w:val="007F64E9"/>
    <w:rsid w:val="007F7D89"/>
    <w:rsid w:val="007F7EFE"/>
    <w:rsid w:val="007F7F51"/>
    <w:rsid w:val="0080100B"/>
    <w:rsid w:val="008014A8"/>
    <w:rsid w:val="00801BBC"/>
    <w:rsid w:val="00802320"/>
    <w:rsid w:val="00802684"/>
    <w:rsid w:val="00804380"/>
    <w:rsid w:val="00804490"/>
    <w:rsid w:val="00806655"/>
    <w:rsid w:val="008066E5"/>
    <w:rsid w:val="00806B2A"/>
    <w:rsid w:val="0080705A"/>
    <w:rsid w:val="008071EA"/>
    <w:rsid w:val="00810DA4"/>
    <w:rsid w:val="00813597"/>
    <w:rsid w:val="00813D3B"/>
    <w:rsid w:val="00814A29"/>
    <w:rsid w:val="00823846"/>
    <w:rsid w:val="008259B8"/>
    <w:rsid w:val="00825ADA"/>
    <w:rsid w:val="00825DEA"/>
    <w:rsid w:val="0082667C"/>
    <w:rsid w:val="008266E5"/>
    <w:rsid w:val="008269BB"/>
    <w:rsid w:val="00827362"/>
    <w:rsid w:val="008279A8"/>
    <w:rsid w:val="00827CE5"/>
    <w:rsid w:val="00827E59"/>
    <w:rsid w:val="0083160C"/>
    <w:rsid w:val="00832787"/>
    <w:rsid w:val="0083338A"/>
    <w:rsid w:val="00833923"/>
    <w:rsid w:val="0083465D"/>
    <w:rsid w:val="00834CDA"/>
    <w:rsid w:val="0083532F"/>
    <w:rsid w:val="008362EF"/>
    <w:rsid w:val="008367C0"/>
    <w:rsid w:val="00840F68"/>
    <w:rsid w:val="00843EBB"/>
    <w:rsid w:val="008443EB"/>
    <w:rsid w:val="00844E1C"/>
    <w:rsid w:val="00845002"/>
    <w:rsid w:val="008465EC"/>
    <w:rsid w:val="00847A9C"/>
    <w:rsid w:val="008528BA"/>
    <w:rsid w:val="00853C7D"/>
    <w:rsid w:val="00854421"/>
    <w:rsid w:val="00855674"/>
    <w:rsid w:val="00855C9D"/>
    <w:rsid w:val="008611EC"/>
    <w:rsid w:val="0086291A"/>
    <w:rsid w:val="00862D4F"/>
    <w:rsid w:val="00867BD0"/>
    <w:rsid w:val="00870112"/>
    <w:rsid w:val="00871456"/>
    <w:rsid w:val="00871856"/>
    <w:rsid w:val="00872ABA"/>
    <w:rsid w:val="00872FCE"/>
    <w:rsid w:val="00873D82"/>
    <w:rsid w:val="00874290"/>
    <w:rsid w:val="00874D57"/>
    <w:rsid w:val="00874EBD"/>
    <w:rsid w:val="008750A3"/>
    <w:rsid w:val="008761FC"/>
    <w:rsid w:val="00877D2F"/>
    <w:rsid w:val="008800C1"/>
    <w:rsid w:val="0088062E"/>
    <w:rsid w:val="00881137"/>
    <w:rsid w:val="00882559"/>
    <w:rsid w:val="00882933"/>
    <w:rsid w:val="00883A75"/>
    <w:rsid w:val="00883F98"/>
    <w:rsid w:val="00884396"/>
    <w:rsid w:val="008843FC"/>
    <w:rsid w:val="00885E0F"/>
    <w:rsid w:val="008862BD"/>
    <w:rsid w:val="008863E8"/>
    <w:rsid w:val="00886400"/>
    <w:rsid w:val="008917E7"/>
    <w:rsid w:val="008941BE"/>
    <w:rsid w:val="008947CF"/>
    <w:rsid w:val="008962E9"/>
    <w:rsid w:val="0089642E"/>
    <w:rsid w:val="0089653C"/>
    <w:rsid w:val="00896CA9"/>
    <w:rsid w:val="008A0D19"/>
    <w:rsid w:val="008A0DE6"/>
    <w:rsid w:val="008A1FF5"/>
    <w:rsid w:val="008A233D"/>
    <w:rsid w:val="008A237E"/>
    <w:rsid w:val="008A3BD1"/>
    <w:rsid w:val="008A447D"/>
    <w:rsid w:val="008A4AF5"/>
    <w:rsid w:val="008A4EFA"/>
    <w:rsid w:val="008A62A5"/>
    <w:rsid w:val="008A791B"/>
    <w:rsid w:val="008A7E2E"/>
    <w:rsid w:val="008B0488"/>
    <w:rsid w:val="008B3124"/>
    <w:rsid w:val="008B3B4B"/>
    <w:rsid w:val="008B5749"/>
    <w:rsid w:val="008B6744"/>
    <w:rsid w:val="008B72A5"/>
    <w:rsid w:val="008B7762"/>
    <w:rsid w:val="008C0421"/>
    <w:rsid w:val="008C0B42"/>
    <w:rsid w:val="008C1918"/>
    <w:rsid w:val="008C1A51"/>
    <w:rsid w:val="008C2A4A"/>
    <w:rsid w:val="008C2F29"/>
    <w:rsid w:val="008C4AD0"/>
    <w:rsid w:val="008C6B30"/>
    <w:rsid w:val="008C7E4D"/>
    <w:rsid w:val="008D087D"/>
    <w:rsid w:val="008D3033"/>
    <w:rsid w:val="008D493B"/>
    <w:rsid w:val="008D4A7C"/>
    <w:rsid w:val="008D51DA"/>
    <w:rsid w:val="008D53A9"/>
    <w:rsid w:val="008D5615"/>
    <w:rsid w:val="008D5F0D"/>
    <w:rsid w:val="008D683A"/>
    <w:rsid w:val="008D6F1D"/>
    <w:rsid w:val="008E0359"/>
    <w:rsid w:val="008E0805"/>
    <w:rsid w:val="008E0FFB"/>
    <w:rsid w:val="008E25B1"/>
    <w:rsid w:val="008E2B4D"/>
    <w:rsid w:val="008E3094"/>
    <w:rsid w:val="008E3295"/>
    <w:rsid w:val="008E55EA"/>
    <w:rsid w:val="008E5926"/>
    <w:rsid w:val="008E75C5"/>
    <w:rsid w:val="008E7887"/>
    <w:rsid w:val="008E7E6E"/>
    <w:rsid w:val="008F1194"/>
    <w:rsid w:val="008F1884"/>
    <w:rsid w:val="008F1AD8"/>
    <w:rsid w:val="008F237A"/>
    <w:rsid w:val="008F2796"/>
    <w:rsid w:val="008F34D3"/>
    <w:rsid w:val="008F63EB"/>
    <w:rsid w:val="008F6A2F"/>
    <w:rsid w:val="008F6B5E"/>
    <w:rsid w:val="008F755E"/>
    <w:rsid w:val="008F79D0"/>
    <w:rsid w:val="009008B1"/>
    <w:rsid w:val="00901DB3"/>
    <w:rsid w:val="00902015"/>
    <w:rsid w:val="00903531"/>
    <w:rsid w:val="00904A65"/>
    <w:rsid w:val="00905793"/>
    <w:rsid w:val="00907263"/>
    <w:rsid w:val="009073CE"/>
    <w:rsid w:val="00910C58"/>
    <w:rsid w:val="009123F6"/>
    <w:rsid w:val="00913E2A"/>
    <w:rsid w:val="0091468D"/>
    <w:rsid w:val="0091475E"/>
    <w:rsid w:val="00914F38"/>
    <w:rsid w:val="009163B6"/>
    <w:rsid w:val="00916B61"/>
    <w:rsid w:val="00917ED2"/>
    <w:rsid w:val="00917F42"/>
    <w:rsid w:val="009205E3"/>
    <w:rsid w:val="009217A9"/>
    <w:rsid w:val="00922F29"/>
    <w:rsid w:val="009231E6"/>
    <w:rsid w:val="00924303"/>
    <w:rsid w:val="00924926"/>
    <w:rsid w:val="00924ED9"/>
    <w:rsid w:val="0092594C"/>
    <w:rsid w:val="00926954"/>
    <w:rsid w:val="009277E9"/>
    <w:rsid w:val="00927A03"/>
    <w:rsid w:val="0093042C"/>
    <w:rsid w:val="00931316"/>
    <w:rsid w:val="009315B3"/>
    <w:rsid w:val="00933086"/>
    <w:rsid w:val="00933611"/>
    <w:rsid w:val="0093478E"/>
    <w:rsid w:val="00934A0F"/>
    <w:rsid w:val="00934ABD"/>
    <w:rsid w:val="00934FDD"/>
    <w:rsid w:val="009364C0"/>
    <w:rsid w:val="00937ED6"/>
    <w:rsid w:val="00940452"/>
    <w:rsid w:val="009406E7"/>
    <w:rsid w:val="00940B04"/>
    <w:rsid w:val="00944575"/>
    <w:rsid w:val="00944AB3"/>
    <w:rsid w:val="009465F6"/>
    <w:rsid w:val="009469A2"/>
    <w:rsid w:val="00950141"/>
    <w:rsid w:val="00950FC7"/>
    <w:rsid w:val="00951D07"/>
    <w:rsid w:val="00952A3E"/>
    <w:rsid w:val="00953FB3"/>
    <w:rsid w:val="0095455D"/>
    <w:rsid w:val="0095482D"/>
    <w:rsid w:val="009563AA"/>
    <w:rsid w:val="00957BED"/>
    <w:rsid w:val="0096004E"/>
    <w:rsid w:val="009623A4"/>
    <w:rsid w:val="00962AE7"/>
    <w:rsid w:val="00963229"/>
    <w:rsid w:val="0096515A"/>
    <w:rsid w:val="0096573E"/>
    <w:rsid w:val="00965C79"/>
    <w:rsid w:val="009662F5"/>
    <w:rsid w:val="00966601"/>
    <w:rsid w:val="00967094"/>
    <w:rsid w:val="00970079"/>
    <w:rsid w:val="009700A9"/>
    <w:rsid w:val="00970A79"/>
    <w:rsid w:val="00973C9C"/>
    <w:rsid w:val="009752BD"/>
    <w:rsid w:val="009758CF"/>
    <w:rsid w:val="00976C9C"/>
    <w:rsid w:val="00976CF4"/>
    <w:rsid w:val="009835C4"/>
    <w:rsid w:val="00983B0F"/>
    <w:rsid w:val="00984E05"/>
    <w:rsid w:val="00985554"/>
    <w:rsid w:val="00985A65"/>
    <w:rsid w:val="0098672A"/>
    <w:rsid w:val="00987830"/>
    <w:rsid w:val="00990141"/>
    <w:rsid w:val="00990D6F"/>
    <w:rsid w:val="0099131F"/>
    <w:rsid w:val="0099157D"/>
    <w:rsid w:val="00993A67"/>
    <w:rsid w:val="00994D7F"/>
    <w:rsid w:val="009962A0"/>
    <w:rsid w:val="0099644E"/>
    <w:rsid w:val="00996F8C"/>
    <w:rsid w:val="009A0627"/>
    <w:rsid w:val="009A44CB"/>
    <w:rsid w:val="009A454D"/>
    <w:rsid w:val="009A472B"/>
    <w:rsid w:val="009A5C14"/>
    <w:rsid w:val="009A5EC8"/>
    <w:rsid w:val="009A6141"/>
    <w:rsid w:val="009A750A"/>
    <w:rsid w:val="009A7763"/>
    <w:rsid w:val="009A7A9E"/>
    <w:rsid w:val="009A7B95"/>
    <w:rsid w:val="009B05E8"/>
    <w:rsid w:val="009B05F1"/>
    <w:rsid w:val="009B126C"/>
    <w:rsid w:val="009B19B4"/>
    <w:rsid w:val="009B2CF2"/>
    <w:rsid w:val="009B3751"/>
    <w:rsid w:val="009B45E7"/>
    <w:rsid w:val="009B493A"/>
    <w:rsid w:val="009B4DE3"/>
    <w:rsid w:val="009B537A"/>
    <w:rsid w:val="009B62CB"/>
    <w:rsid w:val="009B6612"/>
    <w:rsid w:val="009B6A55"/>
    <w:rsid w:val="009B751A"/>
    <w:rsid w:val="009C158C"/>
    <w:rsid w:val="009C196E"/>
    <w:rsid w:val="009C2F04"/>
    <w:rsid w:val="009C3B52"/>
    <w:rsid w:val="009C4A6F"/>
    <w:rsid w:val="009C55F9"/>
    <w:rsid w:val="009C6025"/>
    <w:rsid w:val="009C7197"/>
    <w:rsid w:val="009D161B"/>
    <w:rsid w:val="009D18A0"/>
    <w:rsid w:val="009D1EF0"/>
    <w:rsid w:val="009D478F"/>
    <w:rsid w:val="009D479C"/>
    <w:rsid w:val="009D5125"/>
    <w:rsid w:val="009D545D"/>
    <w:rsid w:val="009D6126"/>
    <w:rsid w:val="009D705F"/>
    <w:rsid w:val="009D707E"/>
    <w:rsid w:val="009D7772"/>
    <w:rsid w:val="009D7E79"/>
    <w:rsid w:val="009E1143"/>
    <w:rsid w:val="009E165F"/>
    <w:rsid w:val="009E26F3"/>
    <w:rsid w:val="009E2925"/>
    <w:rsid w:val="009E409E"/>
    <w:rsid w:val="009E4C22"/>
    <w:rsid w:val="009E63C4"/>
    <w:rsid w:val="009E7131"/>
    <w:rsid w:val="009F0065"/>
    <w:rsid w:val="009F0651"/>
    <w:rsid w:val="009F0908"/>
    <w:rsid w:val="009F1BCB"/>
    <w:rsid w:val="009F2488"/>
    <w:rsid w:val="009F3305"/>
    <w:rsid w:val="009F3650"/>
    <w:rsid w:val="009F6E81"/>
    <w:rsid w:val="009F7321"/>
    <w:rsid w:val="00A00194"/>
    <w:rsid w:val="00A001C6"/>
    <w:rsid w:val="00A00244"/>
    <w:rsid w:val="00A02BF2"/>
    <w:rsid w:val="00A031F9"/>
    <w:rsid w:val="00A03BD6"/>
    <w:rsid w:val="00A05A0B"/>
    <w:rsid w:val="00A05E0C"/>
    <w:rsid w:val="00A10C32"/>
    <w:rsid w:val="00A12FE6"/>
    <w:rsid w:val="00A14944"/>
    <w:rsid w:val="00A1714E"/>
    <w:rsid w:val="00A2017E"/>
    <w:rsid w:val="00A2337E"/>
    <w:rsid w:val="00A24A28"/>
    <w:rsid w:val="00A24B21"/>
    <w:rsid w:val="00A24FA6"/>
    <w:rsid w:val="00A253E4"/>
    <w:rsid w:val="00A2547A"/>
    <w:rsid w:val="00A261BA"/>
    <w:rsid w:val="00A27C2D"/>
    <w:rsid w:val="00A33A71"/>
    <w:rsid w:val="00A33CBD"/>
    <w:rsid w:val="00A343D4"/>
    <w:rsid w:val="00A403A8"/>
    <w:rsid w:val="00A404B2"/>
    <w:rsid w:val="00A406D2"/>
    <w:rsid w:val="00A41764"/>
    <w:rsid w:val="00A41901"/>
    <w:rsid w:val="00A41B44"/>
    <w:rsid w:val="00A41C86"/>
    <w:rsid w:val="00A428F3"/>
    <w:rsid w:val="00A42F93"/>
    <w:rsid w:val="00A44630"/>
    <w:rsid w:val="00A446D4"/>
    <w:rsid w:val="00A44AC4"/>
    <w:rsid w:val="00A4582E"/>
    <w:rsid w:val="00A466C5"/>
    <w:rsid w:val="00A472C5"/>
    <w:rsid w:val="00A50CD1"/>
    <w:rsid w:val="00A513F1"/>
    <w:rsid w:val="00A528CC"/>
    <w:rsid w:val="00A52EF0"/>
    <w:rsid w:val="00A53DF9"/>
    <w:rsid w:val="00A5472F"/>
    <w:rsid w:val="00A54C4F"/>
    <w:rsid w:val="00A560DE"/>
    <w:rsid w:val="00A565E9"/>
    <w:rsid w:val="00A56F02"/>
    <w:rsid w:val="00A57FD5"/>
    <w:rsid w:val="00A60463"/>
    <w:rsid w:val="00A60D31"/>
    <w:rsid w:val="00A61A8A"/>
    <w:rsid w:val="00A61B87"/>
    <w:rsid w:val="00A62028"/>
    <w:rsid w:val="00A628D7"/>
    <w:rsid w:val="00A6320B"/>
    <w:rsid w:val="00A6444C"/>
    <w:rsid w:val="00A64491"/>
    <w:rsid w:val="00A65141"/>
    <w:rsid w:val="00A66485"/>
    <w:rsid w:val="00A66DA4"/>
    <w:rsid w:val="00A71874"/>
    <w:rsid w:val="00A74126"/>
    <w:rsid w:val="00A7441C"/>
    <w:rsid w:val="00A75036"/>
    <w:rsid w:val="00A7606A"/>
    <w:rsid w:val="00A7702A"/>
    <w:rsid w:val="00A80332"/>
    <w:rsid w:val="00A80AA1"/>
    <w:rsid w:val="00A80D18"/>
    <w:rsid w:val="00A82149"/>
    <w:rsid w:val="00A8228B"/>
    <w:rsid w:val="00A82C28"/>
    <w:rsid w:val="00A84413"/>
    <w:rsid w:val="00A85069"/>
    <w:rsid w:val="00A851D3"/>
    <w:rsid w:val="00A85C99"/>
    <w:rsid w:val="00A85E2E"/>
    <w:rsid w:val="00A86059"/>
    <w:rsid w:val="00A8682A"/>
    <w:rsid w:val="00A87275"/>
    <w:rsid w:val="00A877EA"/>
    <w:rsid w:val="00A90434"/>
    <w:rsid w:val="00A90848"/>
    <w:rsid w:val="00A90ADF"/>
    <w:rsid w:val="00A90D5D"/>
    <w:rsid w:val="00A919A8"/>
    <w:rsid w:val="00A94817"/>
    <w:rsid w:val="00A95E04"/>
    <w:rsid w:val="00A9702D"/>
    <w:rsid w:val="00AA09CE"/>
    <w:rsid w:val="00AA109A"/>
    <w:rsid w:val="00AA184D"/>
    <w:rsid w:val="00AA21D4"/>
    <w:rsid w:val="00AA3ADF"/>
    <w:rsid w:val="00AA4945"/>
    <w:rsid w:val="00AA4E30"/>
    <w:rsid w:val="00AA4F18"/>
    <w:rsid w:val="00AA7490"/>
    <w:rsid w:val="00AA7EB9"/>
    <w:rsid w:val="00AB0321"/>
    <w:rsid w:val="00AB21EA"/>
    <w:rsid w:val="00AB29DA"/>
    <w:rsid w:val="00AB2D5C"/>
    <w:rsid w:val="00AB30C4"/>
    <w:rsid w:val="00AB38FC"/>
    <w:rsid w:val="00AB3BFD"/>
    <w:rsid w:val="00AB4582"/>
    <w:rsid w:val="00AB4664"/>
    <w:rsid w:val="00AB51C0"/>
    <w:rsid w:val="00AB538D"/>
    <w:rsid w:val="00AB70F7"/>
    <w:rsid w:val="00AC078F"/>
    <w:rsid w:val="00AC12F5"/>
    <w:rsid w:val="00AC2A9D"/>
    <w:rsid w:val="00AC56CE"/>
    <w:rsid w:val="00AC59CF"/>
    <w:rsid w:val="00AC604F"/>
    <w:rsid w:val="00AC71B2"/>
    <w:rsid w:val="00AC79C0"/>
    <w:rsid w:val="00AC7EE4"/>
    <w:rsid w:val="00AD240B"/>
    <w:rsid w:val="00AD2F15"/>
    <w:rsid w:val="00AD34FD"/>
    <w:rsid w:val="00AD4224"/>
    <w:rsid w:val="00AD4E75"/>
    <w:rsid w:val="00AD5D5A"/>
    <w:rsid w:val="00AD6DC7"/>
    <w:rsid w:val="00AD74C8"/>
    <w:rsid w:val="00AE047F"/>
    <w:rsid w:val="00AE3181"/>
    <w:rsid w:val="00AE357C"/>
    <w:rsid w:val="00AE3F94"/>
    <w:rsid w:val="00AE6795"/>
    <w:rsid w:val="00AE6CB3"/>
    <w:rsid w:val="00AE6ED6"/>
    <w:rsid w:val="00AE7EDF"/>
    <w:rsid w:val="00AF07F9"/>
    <w:rsid w:val="00AF165B"/>
    <w:rsid w:val="00AF16C9"/>
    <w:rsid w:val="00AF3257"/>
    <w:rsid w:val="00AF4186"/>
    <w:rsid w:val="00AF4323"/>
    <w:rsid w:val="00AF4AF8"/>
    <w:rsid w:val="00AF59DA"/>
    <w:rsid w:val="00B006E7"/>
    <w:rsid w:val="00B01969"/>
    <w:rsid w:val="00B02FCB"/>
    <w:rsid w:val="00B04BED"/>
    <w:rsid w:val="00B07347"/>
    <w:rsid w:val="00B10470"/>
    <w:rsid w:val="00B10AEC"/>
    <w:rsid w:val="00B11E89"/>
    <w:rsid w:val="00B12515"/>
    <w:rsid w:val="00B1367C"/>
    <w:rsid w:val="00B14BD4"/>
    <w:rsid w:val="00B16963"/>
    <w:rsid w:val="00B1774E"/>
    <w:rsid w:val="00B2034E"/>
    <w:rsid w:val="00B2044E"/>
    <w:rsid w:val="00B21DE8"/>
    <w:rsid w:val="00B234B3"/>
    <w:rsid w:val="00B24FA2"/>
    <w:rsid w:val="00B25E60"/>
    <w:rsid w:val="00B26121"/>
    <w:rsid w:val="00B27C22"/>
    <w:rsid w:val="00B27D31"/>
    <w:rsid w:val="00B30BB7"/>
    <w:rsid w:val="00B3130A"/>
    <w:rsid w:val="00B320FF"/>
    <w:rsid w:val="00B32385"/>
    <w:rsid w:val="00B32B9E"/>
    <w:rsid w:val="00B32FB1"/>
    <w:rsid w:val="00B350EC"/>
    <w:rsid w:val="00B35AFE"/>
    <w:rsid w:val="00B40329"/>
    <w:rsid w:val="00B40B8D"/>
    <w:rsid w:val="00B4103B"/>
    <w:rsid w:val="00B422E2"/>
    <w:rsid w:val="00B432A2"/>
    <w:rsid w:val="00B4416E"/>
    <w:rsid w:val="00B45440"/>
    <w:rsid w:val="00B4724A"/>
    <w:rsid w:val="00B5219A"/>
    <w:rsid w:val="00B53BE1"/>
    <w:rsid w:val="00B5466A"/>
    <w:rsid w:val="00B546E5"/>
    <w:rsid w:val="00B54E07"/>
    <w:rsid w:val="00B54EBB"/>
    <w:rsid w:val="00B565C8"/>
    <w:rsid w:val="00B575ED"/>
    <w:rsid w:val="00B57F78"/>
    <w:rsid w:val="00B62F9E"/>
    <w:rsid w:val="00B6326B"/>
    <w:rsid w:val="00B652B5"/>
    <w:rsid w:val="00B66F7A"/>
    <w:rsid w:val="00B67C43"/>
    <w:rsid w:val="00B67ED0"/>
    <w:rsid w:val="00B70E53"/>
    <w:rsid w:val="00B71451"/>
    <w:rsid w:val="00B74278"/>
    <w:rsid w:val="00B74705"/>
    <w:rsid w:val="00B74730"/>
    <w:rsid w:val="00B75149"/>
    <w:rsid w:val="00B773C5"/>
    <w:rsid w:val="00B80201"/>
    <w:rsid w:val="00B803D6"/>
    <w:rsid w:val="00B83257"/>
    <w:rsid w:val="00B83A93"/>
    <w:rsid w:val="00B83B89"/>
    <w:rsid w:val="00B903E3"/>
    <w:rsid w:val="00B90D97"/>
    <w:rsid w:val="00B911C2"/>
    <w:rsid w:val="00B91DF8"/>
    <w:rsid w:val="00B93396"/>
    <w:rsid w:val="00B95300"/>
    <w:rsid w:val="00B9543E"/>
    <w:rsid w:val="00B9594C"/>
    <w:rsid w:val="00B969CB"/>
    <w:rsid w:val="00B96F03"/>
    <w:rsid w:val="00B9734C"/>
    <w:rsid w:val="00BA0B05"/>
    <w:rsid w:val="00BA1C6F"/>
    <w:rsid w:val="00BA314C"/>
    <w:rsid w:val="00BA52F8"/>
    <w:rsid w:val="00BA6C1F"/>
    <w:rsid w:val="00BA6D21"/>
    <w:rsid w:val="00BB1BEE"/>
    <w:rsid w:val="00BB1E94"/>
    <w:rsid w:val="00BB57F4"/>
    <w:rsid w:val="00BB64DA"/>
    <w:rsid w:val="00BB667B"/>
    <w:rsid w:val="00BB7712"/>
    <w:rsid w:val="00BC1222"/>
    <w:rsid w:val="00BC177D"/>
    <w:rsid w:val="00BC1947"/>
    <w:rsid w:val="00BC1A41"/>
    <w:rsid w:val="00BC2114"/>
    <w:rsid w:val="00BC240F"/>
    <w:rsid w:val="00BC2908"/>
    <w:rsid w:val="00BC37A5"/>
    <w:rsid w:val="00BC3FC3"/>
    <w:rsid w:val="00BC5224"/>
    <w:rsid w:val="00BC6BAB"/>
    <w:rsid w:val="00BC6FDF"/>
    <w:rsid w:val="00BC7725"/>
    <w:rsid w:val="00BC7AE4"/>
    <w:rsid w:val="00BC7D79"/>
    <w:rsid w:val="00BD0075"/>
    <w:rsid w:val="00BD02DD"/>
    <w:rsid w:val="00BD09E2"/>
    <w:rsid w:val="00BD2C45"/>
    <w:rsid w:val="00BD4A4B"/>
    <w:rsid w:val="00BD4C27"/>
    <w:rsid w:val="00BD626E"/>
    <w:rsid w:val="00BD6E92"/>
    <w:rsid w:val="00BD74FA"/>
    <w:rsid w:val="00BD7A22"/>
    <w:rsid w:val="00BE05BB"/>
    <w:rsid w:val="00BE0F25"/>
    <w:rsid w:val="00BE207E"/>
    <w:rsid w:val="00BE274E"/>
    <w:rsid w:val="00BE2B1B"/>
    <w:rsid w:val="00BE336C"/>
    <w:rsid w:val="00BE4D2C"/>
    <w:rsid w:val="00BE5835"/>
    <w:rsid w:val="00BE7308"/>
    <w:rsid w:val="00BE74DF"/>
    <w:rsid w:val="00BE7988"/>
    <w:rsid w:val="00BE7F6B"/>
    <w:rsid w:val="00BF0382"/>
    <w:rsid w:val="00BF082E"/>
    <w:rsid w:val="00BF0FC4"/>
    <w:rsid w:val="00BF1E0A"/>
    <w:rsid w:val="00BF27E9"/>
    <w:rsid w:val="00BF4212"/>
    <w:rsid w:val="00BF6F76"/>
    <w:rsid w:val="00C02978"/>
    <w:rsid w:val="00C034A9"/>
    <w:rsid w:val="00C03859"/>
    <w:rsid w:val="00C03DBF"/>
    <w:rsid w:val="00C04FA0"/>
    <w:rsid w:val="00C05E01"/>
    <w:rsid w:val="00C05E42"/>
    <w:rsid w:val="00C06075"/>
    <w:rsid w:val="00C063F1"/>
    <w:rsid w:val="00C078BD"/>
    <w:rsid w:val="00C11AF5"/>
    <w:rsid w:val="00C13805"/>
    <w:rsid w:val="00C15CA6"/>
    <w:rsid w:val="00C16807"/>
    <w:rsid w:val="00C2025F"/>
    <w:rsid w:val="00C214FA"/>
    <w:rsid w:val="00C2167D"/>
    <w:rsid w:val="00C21BCC"/>
    <w:rsid w:val="00C228FA"/>
    <w:rsid w:val="00C23390"/>
    <w:rsid w:val="00C23C07"/>
    <w:rsid w:val="00C2403A"/>
    <w:rsid w:val="00C24CC2"/>
    <w:rsid w:val="00C260F7"/>
    <w:rsid w:val="00C2632E"/>
    <w:rsid w:val="00C266D3"/>
    <w:rsid w:val="00C266DA"/>
    <w:rsid w:val="00C26FE9"/>
    <w:rsid w:val="00C27941"/>
    <w:rsid w:val="00C27BD3"/>
    <w:rsid w:val="00C27D03"/>
    <w:rsid w:val="00C30D8F"/>
    <w:rsid w:val="00C31095"/>
    <w:rsid w:val="00C31607"/>
    <w:rsid w:val="00C32321"/>
    <w:rsid w:val="00C32332"/>
    <w:rsid w:val="00C349F0"/>
    <w:rsid w:val="00C34A1E"/>
    <w:rsid w:val="00C3720B"/>
    <w:rsid w:val="00C41423"/>
    <w:rsid w:val="00C41D5D"/>
    <w:rsid w:val="00C429A1"/>
    <w:rsid w:val="00C43335"/>
    <w:rsid w:val="00C4334F"/>
    <w:rsid w:val="00C4434A"/>
    <w:rsid w:val="00C44974"/>
    <w:rsid w:val="00C44E9E"/>
    <w:rsid w:val="00C46098"/>
    <w:rsid w:val="00C46439"/>
    <w:rsid w:val="00C46B32"/>
    <w:rsid w:val="00C47A26"/>
    <w:rsid w:val="00C50556"/>
    <w:rsid w:val="00C50E1F"/>
    <w:rsid w:val="00C516EC"/>
    <w:rsid w:val="00C53DC9"/>
    <w:rsid w:val="00C55526"/>
    <w:rsid w:val="00C569A6"/>
    <w:rsid w:val="00C571A9"/>
    <w:rsid w:val="00C57A73"/>
    <w:rsid w:val="00C615A7"/>
    <w:rsid w:val="00C616BF"/>
    <w:rsid w:val="00C62C5D"/>
    <w:rsid w:val="00C64873"/>
    <w:rsid w:val="00C65A0A"/>
    <w:rsid w:val="00C66628"/>
    <w:rsid w:val="00C6723F"/>
    <w:rsid w:val="00C67B39"/>
    <w:rsid w:val="00C734C0"/>
    <w:rsid w:val="00C73966"/>
    <w:rsid w:val="00C73C3D"/>
    <w:rsid w:val="00C7422F"/>
    <w:rsid w:val="00C751BF"/>
    <w:rsid w:val="00C7651A"/>
    <w:rsid w:val="00C77280"/>
    <w:rsid w:val="00C7772C"/>
    <w:rsid w:val="00C812AA"/>
    <w:rsid w:val="00C81AD1"/>
    <w:rsid w:val="00C83111"/>
    <w:rsid w:val="00C84265"/>
    <w:rsid w:val="00C84ED5"/>
    <w:rsid w:val="00C87250"/>
    <w:rsid w:val="00C9070B"/>
    <w:rsid w:val="00C941DC"/>
    <w:rsid w:val="00C94791"/>
    <w:rsid w:val="00C96465"/>
    <w:rsid w:val="00C96D0A"/>
    <w:rsid w:val="00C97EDB"/>
    <w:rsid w:val="00CA001B"/>
    <w:rsid w:val="00CA01AD"/>
    <w:rsid w:val="00CA0417"/>
    <w:rsid w:val="00CA0456"/>
    <w:rsid w:val="00CA0D73"/>
    <w:rsid w:val="00CA1A52"/>
    <w:rsid w:val="00CA2625"/>
    <w:rsid w:val="00CA2C90"/>
    <w:rsid w:val="00CA3024"/>
    <w:rsid w:val="00CA3E46"/>
    <w:rsid w:val="00CA485C"/>
    <w:rsid w:val="00CA5403"/>
    <w:rsid w:val="00CA5475"/>
    <w:rsid w:val="00CA69EC"/>
    <w:rsid w:val="00CA6FE3"/>
    <w:rsid w:val="00CA76CF"/>
    <w:rsid w:val="00CA7880"/>
    <w:rsid w:val="00CB1161"/>
    <w:rsid w:val="00CB19DA"/>
    <w:rsid w:val="00CB1BF5"/>
    <w:rsid w:val="00CB3AF4"/>
    <w:rsid w:val="00CB3F45"/>
    <w:rsid w:val="00CB40A0"/>
    <w:rsid w:val="00CB44F6"/>
    <w:rsid w:val="00CB51FF"/>
    <w:rsid w:val="00CB77CB"/>
    <w:rsid w:val="00CC0334"/>
    <w:rsid w:val="00CC1692"/>
    <w:rsid w:val="00CC1B8B"/>
    <w:rsid w:val="00CC1DF5"/>
    <w:rsid w:val="00CC3A59"/>
    <w:rsid w:val="00CC3B45"/>
    <w:rsid w:val="00CC4253"/>
    <w:rsid w:val="00CC444E"/>
    <w:rsid w:val="00CC4804"/>
    <w:rsid w:val="00CC5133"/>
    <w:rsid w:val="00CC5F27"/>
    <w:rsid w:val="00CC63FE"/>
    <w:rsid w:val="00CC7437"/>
    <w:rsid w:val="00CC7752"/>
    <w:rsid w:val="00CD16A3"/>
    <w:rsid w:val="00CD1841"/>
    <w:rsid w:val="00CD20E1"/>
    <w:rsid w:val="00CD3BBB"/>
    <w:rsid w:val="00CD3C54"/>
    <w:rsid w:val="00CD51EC"/>
    <w:rsid w:val="00CD6961"/>
    <w:rsid w:val="00CD7CC7"/>
    <w:rsid w:val="00CE081E"/>
    <w:rsid w:val="00CE08DD"/>
    <w:rsid w:val="00CE09F2"/>
    <w:rsid w:val="00CE2CDA"/>
    <w:rsid w:val="00CE3521"/>
    <w:rsid w:val="00CE3BC2"/>
    <w:rsid w:val="00CE4873"/>
    <w:rsid w:val="00CE5723"/>
    <w:rsid w:val="00CE57FF"/>
    <w:rsid w:val="00CE6ED8"/>
    <w:rsid w:val="00CE74C3"/>
    <w:rsid w:val="00CF0025"/>
    <w:rsid w:val="00CF0EFF"/>
    <w:rsid w:val="00CF1168"/>
    <w:rsid w:val="00CF1C88"/>
    <w:rsid w:val="00CF3FC7"/>
    <w:rsid w:val="00CF4077"/>
    <w:rsid w:val="00CF4841"/>
    <w:rsid w:val="00CF5493"/>
    <w:rsid w:val="00CF67D8"/>
    <w:rsid w:val="00CF694E"/>
    <w:rsid w:val="00CF6BF4"/>
    <w:rsid w:val="00CF77C7"/>
    <w:rsid w:val="00CF7DE9"/>
    <w:rsid w:val="00D01398"/>
    <w:rsid w:val="00D0189D"/>
    <w:rsid w:val="00D03B93"/>
    <w:rsid w:val="00D041B0"/>
    <w:rsid w:val="00D043DC"/>
    <w:rsid w:val="00D04528"/>
    <w:rsid w:val="00D04DD7"/>
    <w:rsid w:val="00D050BA"/>
    <w:rsid w:val="00D05E32"/>
    <w:rsid w:val="00D0640E"/>
    <w:rsid w:val="00D06FC6"/>
    <w:rsid w:val="00D106A3"/>
    <w:rsid w:val="00D11CE7"/>
    <w:rsid w:val="00D12281"/>
    <w:rsid w:val="00D13BE2"/>
    <w:rsid w:val="00D14D03"/>
    <w:rsid w:val="00D174F0"/>
    <w:rsid w:val="00D175B7"/>
    <w:rsid w:val="00D17707"/>
    <w:rsid w:val="00D26679"/>
    <w:rsid w:val="00D2772F"/>
    <w:rsid w:val="00D3020A"/>
    <w:rsid w:val="00D3079F"/>
    <w:rsid w:val="00D30C5E"/>
    <w:rsid w:val="00D3100A"/>
    <w:rsid w:val="00D312EB"/>
    <w:rsid w:val="00D318BF"/>
    <w:rsid w:val="00D3348F"/>
    <w:rsid w:val="00D3413F"/>
    <w:rsid w:val="00D3477D"/>
    <w:rsid w:val="00D3483B"/>
    <w:rsid w:val="00D3497A"/>
    <w:rsid w:val="00D35B95"/>
    <w:rsid w:val="00D36B51"/>
    <w:rsid w:val="00D3705B"/>
    <w:rsid w:val="00D373B0"/>
    <w:rsid w:val="00D403B7"/>
    <w:rsid w:val="00D40C75"/>
    <w:rsid w:val="00D40F22"/>
    <w:rsid w:val="00D4142C"/>
    <w:rsid w:val="00D4229B"/>
    <w:rsid w:val="00D42F0B"/>
    <w:rsid w:val="00D45597"/>
    <w:rsid w:val="00D45823"/>
    <w:rsid w:val="00D45C32"/>
    <w:rsid w:val="00D462AD"/>
    <w:rsid w:val="00D46FF7"/>
    <w:rsid w:val="00D47AD5"/>
    <w:rsid w:val="00D518C3"/>
    <w:rsid w:val="00D51C09"/>
    <w:rsid w:val="00D532C6"/>
    <w:rsid w:val="00D5426B"/>
    <w:rsid w:val="00D54C4D"/>
    <w:rsid w:val="00D5599A"/>
    <w:rsid w:val="00D55B21"/>
    <w:rsid w:val="00D5693C"/>
    <w:rsid w:val="00D569AD"/>
    <w:rsid w:val="00D5793A"/>
    <w:rsid w:val="00D605E5"/>
    <w:rsid w:val="00D62A8B"/>
    <w:rsid w:val="00D64868"/>
    <w:rsid w:val="00D6594B"/>
    <w:rsid w:val="00D65F89"/>
    <w:rsid w:val="00D71595"/>
    <w:rsid w:val="00D71B33"/>
    <w:rsid w:val="00D72158"/>
    <w:rsid w:val="00D72E9A"/>
    <w:rsid w:val="00D740F4"/>
    <w:rsid w:val="00D7422C"/>
    <w:rsid w:val="00D802FD"/>
    <w:rsid w:val="00D869C5"/>
    <w:rsid w:val="00D92888"/>
    <w:rsid w:val="00D932E1"/>
    <w:rsid w:val="00D937A6"/>
    <w:rsid w:val="00D94A5A"/>
    <w:rsid w:val="00D97721"/>
    <w:rsid w:val="00DA0427"/>
    <w:rsid w:val="00DA05B7"/>
    <w:rsid w:val="00DA127D"/>
    <w:rsid w:val="00DA266F"/>
    <w:rsid w:val="00DA26A7"/>
    <w:rsid w:val="00DA2928"/>
    <w:rsid w:val="00DA30E8"/>
    <w:rsid w:val="00DA3AE2"/>
    <w:rsid w:val="00DA3B33"/>
    <w:rsid w:val="00DA42A3"/>
    <w:rsid w:val="00DA5B4D"/>
    <w:rsid w:val="00DA7075"/>
    <w:rsid w:val="00DA74A2"/>
    <w:rsid w:val="00DB0842"/>
    <w:rsid w:val="00DB1B33"/>
    <w:rsid w:val="00DB3F35"/>
    <w:rsid w:val="00DB550E"/>
    <w:rsid w:val="00DB6144"/>
    <w:rsid w:val="00DB6664"/>
    <w:rsid w:val="00DB6EAC"/>
    <w:rsid w:val="00DB73FB"/>
    <w:rsid w:val="00DB745E"/>
    <w:rsid w:val="00DB7CD4"/>
    <w:rsid w:val="00DC0DBE"/>
    <w:rsid w:val="00DC217C"/>
    <w:rsid w:val="00DC429D"/>
    <w:rsid w:val="00DC458D"/>
    <w:rsid w:val="00DC62D9"/>
    <w:rsid w:val="00DC6BCD"/>
    <w:rsid w:val="00DC6E17"/>
    <w:rsid w:val="00DC6F8F"/>
    <w:rsid w:val="00DC747D"/>
    <w:rsid w:val="00DD26B7"/>
    <w:rsid w:val="00DD35D4"/>
    <w:rsid w:val="00DD3848"/>
    <w:rsid w:val="00DD4DCA"/>
    <w:rsid w:val="00DD5181"/>
    <w:rsid w:val="00DD569F"/>
    <w:rsid w:val="00DD5B3A"/>
    <w:rsid w:val="00DD5CCB"/>
    <w:rsid w:val="00DD6003"/>
    <w:rsid w:val="00DD7B1D"/>
    <w:rsid w:val="00DE1A4C"/>
    <w:rsid w:val="00DE285A"/>
    <w:rsid w:val="00DE2F3F"/>
    <w:rsid w:val="00DE3E14"/>
    <w:rsid w:val="00DE5417"/>
    <w:rsid w:val="00DE5630"/>
    <w:rsid w:val="00DE5DD0"/>
    <w:rsid w:val="00DE608E"/>
    <w:rsid w:val="00DE7227"/>
    <w:rsid w:val="00DE76FC"/>
    <w:rsid w:val="00DF011C"/>
    <w:rsid w:val="00DF0BB3"/>
    <w:rsid w:val="00DF33A3"/>
    <w:rsid w:val="00DF3789"/>
    <w:rsid w:val="00DF3F22"/>
    <w:rsid w:val="00DF4241"/>
    <w:rsid w:val="00DF45B4"/>
    <w:rsid w:val="00DF4BAB"/>
    <w:rsid w:val="00DF5D14"/>
    <w:rsid w:val="00DF608E"/>
    <w:rsid w:val="00DF6CC5"/>
    <w:rsid w:val="00DF6FF1"/>
    <w:rsid w:val="00DF76E0"/>
    <w:rsid w:val="00E0139A"/>
    <w:rsid w:val="00E015A9"/>
    <w:rsid w:val="00E02883"/>
    <w:rsid w:val="00E04029"/>
    <w:rsid w:val="00E04242"/>
    <w:rsid w:val="00E10861"/>
    <w:rsid w:val="00E120BC"/>
    <w:rsid w:val="00E1376C"/>
    <w:rsid w:val="00E15635"/>
    <w:rsid w:val="00E16BEE"/>
    <w:rsid w:val="00E21B02"/>
    <w:rsid w:val="00E23869"/>
    <w:rsid w:val="00E23EEA"/>
    <w:rsid w:val="00E251B1"/>
    <w:rsid w:val="00E25CA8"/>
    <w:rsid w:val="00E26156"/>
    <w:rsid w:val="00E27323"/>
    <w:rsid w:val="00E3046F"/>
    <w:rsid w:val="00E30962"/>
    <w:rsid w:val="00E3099D"/>
    <w:rsid w:val="00E31CB4"/>
    <w:rsid w:val="00E333FB"/>
    <w:rsid w:val="00E3345C"/>
    <w:rsid w:val="00E36150"/>
    <w:rsid w:val="00E367BF"/>
    <w:rsid w:val="00E36EA0"/>
    <w:rsid w:val="00E36F7B"/>
    <w:rsid w:val="00E379CA"/>
    <w:rsid w:val="00E40778"/>
    <w:rsid w:val="00E41FE9"/>
    <w:rsid w:val="00E4501A"/>
    <w:rsid w:val="00E45135"/>
    <w:rsid w:val="00E4586E"/>
    <w:rsid w:val="00E45DEB"/>
    <w:rsid w:val="00E464B9"/>
    <w:rsid w:val="00E46BFA"/>
    <w:rsid w:val="00E477BE"/>
    <w:rsid w:val="00E47B62"/>
    <w:rsid w:val="00E511EA"/>
    <w:rsid w:val="00E51517"/>
    <w:rsid w:val="00E51F74"/>
    <w:rsid w:val="00E54533"/>
    <w:rsid w:val="00E55868"/>
    <w:rsid w:val="00E60C14"/>
    <w:rsid w:val="00E61815"/>
    <w:rsid w:val="00E61B4D"/>
    <w:rsid w:val="00E63806"/>
    <w:rsid w:val="00E65A34"/>
    <w:rsid w:val="00E65D86"/>
    <w:rsid w:val="00E66967"/>
    <w:rsid w:val="00E6717D"/>
    <w:rsid w:val="00E673C6"/>
    <w:rsid w:val="00E67E1C"/>
    <w:rsid w:val="00E67F79"/>
    <w:rsid w:val="00E70E2A"/>
    <w:rsid w:val="00E71B63"/>
    <w:rsid w:val="00E71BD4"/>
    <w:rsid w:val="00E72C1A"/>
    <w:rsid w:val="00E74BBE"/>
    <w:rsid w:val="00E763CD"/>
    <w:rsid w:val="00E76A0F"/>
    <w:rsid w:val="00E7711B"/>
    <w:rsid w:val="00E77E51"/>
    <w:rsid w:val="00E807D4"/>
    <w:rsid w:val="00E8114F"/>
    <w:rsid w:val="00E82425"/>
    <w:rsid w:val="00E828F9"/>
    <w:rsid w:val="00E82AF3"/>
    <w:rsid w:val="00E82B64"/>
    <w:rsid w:val="00E83E08"/>
    <w:rsid w:val="00E850A3"/>
    <w:rsid w:val="00E8528B"/>
    <w:rsid w:val="00E859BA"/>
    <w:rsid w:val="00E864F1"/>
    <w:rsid w:val="00E86A15"/>
    <w:rsid w:val="00E87034"/>
    <w:rsid w:val="00E870B0"/>
    <w:rsid w:val="00E90733"/>
    <w:rsid w:val="00E90F26"/>
    <w:rsid w:val="00E931A2"/>
    <w:rsid w:val="00E93D9A"/>
    <w:rsid w:val="00E96340"/>
    <w:rsid w:val="00EA26A5"/>
    <w:rsid w:val="00EA2E2E"/>
    <w:rsid w:val="00EA38D5"/>
    <w:rsid w:val="00EA4363"/>
    <w:rsid w:val="00EA5409"/>
    <w:rsid w:val="00EA566B"/>
    <w:rsid w:val="00EA5F10"/>
    <w:rsid w:val="00EA5F30"/>
    <w:rsid w:val="00EA6EA0"/>
    <w:rsid w:val="00EA6F59"/>
    <w:rsid w:val="00EA725B"/>
    <w:rsid w:val="00EA789A"/>
    <w:rsid w:val="00EA7F85"/>
    <w:rsid w:val="00EB219C"/>
    <w:rsid w:val="00EB321E"/>
    <w:rsid w:val="00EB62A2"/>
    <w:rsid w:val="00EB63C2"/>
    <w:rsid w:val="00EB64FC"/>
    <w:rsid w:val="00EB7B3E"/>
    <w:rsid w:val="00EC0FC7"/>
    <w:rsid w:val="00EC3466"/>
    <w:rsid w:val="00EC37C6"/>
    <w:rsid w:val="00EC3CEA"/>
    <w:rsid w:val="00EC4D48"/>
    <w:rsid w:val="00EC6339"/>
    <w:rsid w:val="00EC744B"/>
    <w:rsid w:val="00EC778D"/>
    <w:rsid w:val="00EC7B5A"/>
    <w:rsid w:val="00ED1573"/>
    <w:rsid w:val="00ED1966"/>
    <w:rsid w:val="00ED419B"/>
    <w:rsid w:val="00ED4DA5"/>
    <w:rsid w:val="00ED5AAA"/>
    <w:rsid w:val="00ED5AF3"/>
    <w:rsid w:val="00ED6E55"/>
    <w:rsid w:val="00ED71E9"/>
    <w:rsid w:val="00ED7419"/>
    <w:rsid w:val="00ED7443"/>
    <w:rsid w:val="00EE050F"/>
    <w:rsid w:val="00EE081A"/>
    <w:rsid w:val="00EE1EB5"/>
    <w:rsid w:val="00EE243B"/>
    <w:rsid w:val="00EE5AEA"/>
    <w:rsid w:val="00EE60DB"/>
    <w:rsid w:val="00EE654A"/>
    <w:rsid w:val="00EE7E38"/>
    <w:rsid w:val="00EE7EEA"/>
    <w:rsid w:val="00EF1D7E"/>
    <w:rsid w:val="00EF23FD"/>
    <w:rsid w:val="00EF2D5D"/>
    <w:rsid w:val="00EF39FC"/>
    <w:rsid w:val="00EF449C"/>
    <w:rsid w:val="00EF4CEE"/>
    <w:rsid w:val="00EF53E2"/>
    <w:rsid w:val="00EF5638"/>
    <w:rsid w:val="00EF56DF"/>
    <w:rsid w:val="00EF6801"/>
    <w:rsid w:val="00EF6F0E"/>
    <w:rsid w:val="00EF7F09"/>
    <w:rsid w:val="00F016CA"/>
    <w:rsid w:val="00F01E4F"/>
    <w:rsid w:val="00F04143"/>
    <w:rsid w:val="00F0482C"/>
    <w:rsid w:val="00F05C44"/>
    <w:rsid w:val="00F05E09"/>
    <w:rsid w:val="00F0740D"/>
    <w:rsid w:val="00F07750"/>
    <w:rsid w:val="00F07780"/>
    <w:rsid w:val="00F07DB3"/>
    <w:rsid w:val="00F106C0"/>
    <w:rsid w:val="00F10988"/>
    <w:rsid w:val="00F10A7A"/>
    <w:rsid w:val="00F10A86"/>
    <w:rsid w:val="00F12149"/>
    <w:rsid w:val="00F12E25"/>
    <w:rsid w:val="00F13587"/>
    <w:rsid w:val="00F16387"/>
    <w:rsid w:val="00F173FD"/>
    <w:rsid w:val="00F203C7"/>
    <w:rsid w:val="00F210E0"/>
    <w:rsid w:val="00F21646"/>
    <w:rsid w:val="00F21917"/>
    <w:rsid w:val="00F21C85"/>
    <w:rsid w:val="00F23544"/>
    <w:rsid w:val="00F25ABF"/>
    <w:rsid w:val="00F25BBF"/>
    <w:rsid w:val="00F27A4B"/>
    <w:rsid w:val="00F27BB1"/>
    <w:rsid w:val="00F311E3"/>
    <w:rsid w:val="00F31BEE"/>
    <w:rsid w:val="00F32B0E"/>
    <w:rsid w:val="00F331AF"/>
    <w:rsid w:val="00F33DC4"/>
    <w:rsid w:val="00F35946"/>
    <w:rsid w:val="00F359C0"/>
    <w:rsid w:val="00F37DBE"/>
    <w:rsid w:val="00F40203"/>
    <w:rsid w:val="00F411E2"/>
    <w:rsid w:val="00F4212C"/>
    <w:rsid w:val="00F421EA"/>
    <w:rsid w:val="00F430AC"/>
    <w:rsid w:val="00F44E12"/>
    <w:rsid w:val="00F45308"/>
    <w:rsid w:val="00F462D5"/>
    <w:rsid w:val="00F46975"/>
    <w:rsid w:val="00F477B9"/>
    <w:rsid w:val="00F516B5"/>
    <w:rsid w:val="00F53604"/>
    <w:rsid w:val="00F54A39"/>
    <w:rsid w:val="00F54B2D"/>
    <w:rsid w:val="00F54BBB"/>
    <w:rsid w:val="00F55625"/>
    <w:rsid w:val="00F55FAE"/>
    <w:rsid w:val="00F56422"/>
    <w:rsid w:val="00F60171"/>
    <w:rsid w:val="00F603C9"/>
    <w:rsid w:val="00F607F4"/>
    <w:rsid w:val="00F6086F"/>
    <w:rsid w:val="00F613FA"/>
    <w:rsid w:val="00F61795"/>
    <w:rsid w:val="00F6631F"/>
    <w:rsid w:val="00F67447"/>
    <w:rsid w:val="00F7059C"/>
    <w:rsid w:val="00F72112"/>
    <w:rsid w:val="00F723D6"/>
    <w:rsid w:val="00F724AB"/>
    <w:rsid w:val="00F75018"/>
    <w:rsid w:val="00F764DF"/>
    <w:rsid w:val="00F76942"/>
    <w:rsid w:val="00F77E87"/>
    <w:rsid w:val="00F806A9"/>
    <w:rsid w:val="00F81390"/>
    <w:rsid w:val="00F81620"/>
    <w:rsid w:val="00F8217F"/>
    <w:rsid w:val="00F8229F"/>
    <w:rsid w:val="00F83113"/>
    <w:rsid w:val="00F83392"/>
    <w:rsid w:val="00F83C22"/>
    <w:rsid w:val="00F83E61"/>
    <w:rsid w:val="00F84521"/>
    <w:rsid w:val="00F8525D"/>
    <w:rsid w:val="00F86CF5"/>
    <w:rsid w:val="00F87451"/>
    <w:rsid w:val="00F906AB"/>
    <w:rsid w:val="00F91766"/>
    <w:rsid w:val="00F91A6E"/>
    <w:rsid w:val="00F9687E"/>
    <w:rsid w:val="00F96B7D"/>
    <w:rsid w:val="00FA0537"/>
    <w:rsid w:val="00FA0852"/>
    <w:rsid w:val="00FA1D08"/>
    <w:rsid w:val="00FA25EA"/>
    <w:rsid w:val="00FA2ECA"/>
    <w:rsid w:val="00FA2FA8"/>
    <w:rsid w:val="00FA3D82"/>
    <w:rsid w:val="00FA5F04"/>
    <w:rsid w:val="00FA65E5"/>
    <w:rsid w:val="00FA6A63"/>
    <w:rsid w:val="00FB1348"/>
    <w:rsid w:val="00FB1EA0"/>
    <w:rsid w:val="00FB2144"/>
    <w:rsid w:val="00FB2DA4"/>
    <w:rsid w:val="00FB45C2"/>
    <w:rsid w:val="00FB6B51"/>
    <w:rsid w:val="00FC2786"/>
    <w:rsid w:val="00FC36CB"/>
    <w:rsid w:val="00FC3779"/>
    <w:rsid w:val="00FC400D"/>
    <w:rsid w:val="00FC58AA"/>
    <w:rsid w:val="00FC5AC6"/>
    <w:rsid w:val="00FC6F54"/>
    <w:rsid w:val="00FC7979"/>
    <w:rsid w:val="00FC7CE2"/>
    <w:rsid w:val="00FD1489"/>
    <w:rsid w:val="00FD15A5"/>
    <w:rsid w:val="00FD2169"/>
    <w:rsid w:val="00FD245E"/>
    <w:rsid w:val="00FD24D9"/>
    <w:rsid w:val="00FD2B4A"/>
    <w:rsid w:val="00FD43CA"/>
    <w:rsid w:val="00FD4B6C"/>
    <w:rsid w:val="00FD67DB"/>
    <w:rsid w:val="00FD760A"/>
    <w:rsid w:val="00FD7C6C"/>
    <w:rsid w:val="00FE1B51"/>
    <w:rsid w:val="00FE1CB9"/>
    <w:rsid w:val="00FE54A8"/>
    <w:rsid w:val="00FE66D2"/>
    <w:rsid w:val="00FE6741"/>
    <w:rsid w:val="00FE6B1A"/>
    <w:rsid w:val="00FE730D"/>
    <w:rsid w:val="00FF06F9"/>
    <w:rsid w:val="00FF0FB4"/>
    <w:rsid w:val="00FF1A88"/>
    <w:rsid w:val="00FF2308"/>
    <w:rsid w:val="00FF257F"/>
    <w:rsid w:val="00FF2B2A"/>
    <w:rsid w:val="00FF2B97"/>
    <w:rsid w:val="00FF386C"/>
    <w:rsid w:val="00FF3AAA"/>
    <w:rsid w:val="00FF47D8"/>
    <w:rsid w:val="00FF4EE6"/>
    <w:rsid w:val="00FF683E"/>
    <w:rsid w:val="00FF6A5B"/>
    <w:rsid w:val="00FF7BBC"/>
    <w:rsid w:val="016367A9"/>
    <w:rsid w:val="028669BE"/>
    <w:rsid w:val="028E6154"/>
    <w:rsid w:val="02FF0E39"/>
    <w:rsid w:val="03040CCD"/>
    <w:rsid w:val="0337506D"/>
    <w:rsid w:val="03404E17"/>
    <w:rsid w:val="036C4C82"/>
    <w:rsid w:val="03C0185E"/>
    <w:rsid w:val="046B703C"/>
    <w:rsid w:val="04BD2C91"/>
    <w:rsid w:val="05091BBF"/>
    <w:rsid w:val="05C24554"/>
    <w:rsid w:val="061239DA"/>
    <w:rsid w:val="062671DC"/>
    <w:rsid w:val="065674E8"/>
    <w:rsid w:val="06F85D5A"/>
    <w:rsid w:val="071378F5"/>
    <w:rsid w:val="07731EDA"/>
    <w:rsid w:val="090B4468"/>
    <w:rsid w:val="09536CE2"/>
    <w:rsid w:val="097662B8"/>
    <w:rsid w:val="09EC4E9A"/>
    <w:rsid w:val="0A2B3E51"/>
    <w:rsid w:val="0A93603C"/>
    <w:rsid w:val="0A97493E"/>
    <w:rsid w:val="0AB715F7"/>
    <w:rsid w:val="0B3F1AA4"/>
    <w:rsid w:val="0BC11263"/>
    <w:rsid w:val="0BD96283"/>
    <w:rsid w:val="0C510802"/>
    <w:rsid w:val="0D817E81"/>
    <w:rsid w:val="0D9C032D"/>
    <w:rsid w:val="0DAF4280"/>
    <w:rsid w:val="0E076AE9"/>
    <w:rsid w:val="0E421E9F"/>
    <w:rsid w:val="0EBD3DC2"/>
    <w:rsid w:val="0EF75F06"/>
    <w:rsid w:val="0FB924B8"/>
    <w:rsid w:val="10B81047"/>
    <w:rsid w:val="10E55ACF"/>
    <w:rsid w:val="113611C5"/>
    <w:rsid w:val="11624886"/>
    <w:rsid w:val="11663B15"/>
    <w:rsid w:val="12176AF0"/>
    <w:rsid w:val="12D90C47"/>
    <w:rsid w:val="13043ED4"/>
    <w:rsid w:val="132C1521"/>
    <w:rsid w:val="13BA3578"/>
    <w:rsid w:val="13F21EF0"/>
    <w:rsid w:val="1403461B"/>
    <w:rsid w:val="143D6DFB"/>
    <w:rsid w:val="14D230EC"/>
    <w:rsid w:val="154272B5"/>
    <w:rsid w:val="159A5456"/>
    <w:rsid w:val="15CF287D"/>
    <w:rsid w:val="15EE3AFE"/>
    <w:rsid w:val="169C4E56"/>
    <w:rsid w:val="174258ED"/>
    <w:rsid w:val="17E21328"/>
    <w:rsid w:val="18FE1D0C"/>
    <w:rsid w:val="190469FF"/>
    <w:rsid w:val="1A0B2B00"/>
    <w:rsid w:val="1C7E1E02"/>
    <w:rsid w:val="1CA848A1"/>
    <w:rsid w:val="1CE005C0"/>
    <w:rsid w:val="1CE354ED"/>
    <w:rsid w:val="1CFB75A6"/>
    <w:rsid w:val="1D1C03D7"/>
    <w:rsid w:val="1D4D3358"/>
    <w:rsid w:val="1D621892"/>
    <w:rsid w:val="1D7579CC"/>
    <w:rsid w:val="1D9317B9"/>
    <w:rsid w:val="1D9E6CC4"/>
    <w:rsid w:val="1DD151B5"/>
    <w:rsid w:val="1DE04BB8"/>
    <w:rsid w:val="1E757AD8"/>
    <w:rsid w:val="1F7E179E"/>
    <w:rsid w:val="1F964275"/>
    <w:rsid w:val="200377F1"/>
    <w:rsid w:val="20135EB8"/>
    <w:rsid w:val="213D2A55"/>
    <w:rsid w:val="21CC533A"/>
    <w:rsid w:val="22961598"/>
    <w:rsid w:val="22E22C59"/>
    <w:rsid w:val="24B578FA"/>
    <w:rsid w:val="251C6852"/>
    <w:rsid w:val="25A4761E"/>
    <w:rsid w:val="25BF622B"/>
    <w:rsid w:val="25E554DD"/>
    <w:rsid w:val="26B54B63"/>
    <w:rsid w:val="271F7879"/>
    <w:rsid w:val="27393819"/>
    <w:rsid w:val="2739606C"/>
    <w:rsid w:val="273D3222"/>
    <w:rsid w:val="280744DD"/>
    <w:rsid w:val="286C493A"/>
    <w:rsid w:val="28A0271E"/>
    <w:rsid w:val="29547BC4"/>
    <w:rsid w:val="296733FA"/>
    <w:rsid w:val="2A75021C"/>
    <w:rsid w:val="2AE45309"/>
    <w:rsid w:val="2B4E79D6"/>
    <w:rsid w:val="2C920118"/>
    <w:rsid w:val="2CCC7A2F"/>
    <w:rsid w:val="2D21013D"/>
    <w:rsid w:val="2D4E158F"/>
    <w:rsid w:val="2E8D4481"/>
    <w:rsid w:val="2F1C72FC"/>
    <w:rsid w:val="2FAA5F34"/>
    <w:rsid w:val="2FC4512F"/>
    <w:rsid w:val="305F56A6"/>
    <w:rsid w:val="30906EF6"/>
    <w:rsid w:val="30B63EEC"/>
    <w:rsid w:val="31E43451"/>
    <w:rsid w:val="31E85DFB"/>
    <w:rsid w:val="326F27DC"/>
    <w:rsid w:val="327A6A63"/>
    <w:rsid w:val="333D59D1"/>
    <w:rsid w:val="33CE43C5"/>
    <w:rsid w:val="33E2761E"/>
    <w:rsid w:val="33ED0162"/>
    <w:rsid w:val="35163620"/>
    <w:rsid w:val="36292D10"/>
    <w:rsid w:val="367C1606"/>
    <w:rsid w:val="36B56003"/>
    <w:rsid w:val="36C52477"/>
    <w:rsid w:val="36E35581"/>
    <w:rsid w:val="37482116"/>
    <w:rsid w:val="37791B81"/>
    <w:rsid w:val="37BD3B90"/>
    <w:rsid w:val="37D231F3"/>
    <w:rsid w:val="38124733"/>
    <w:rsid w:val="38460B75"/>
    <w:rsid w:val="38C04A2B"/>
    <w:rsid w:val="39B8452F"/>
    <w:rsid w:val="39C51092"/>
    <w:rsid w:val="39F6604A"/>
    <w:rsid w:val="3A5635DF"/>
    <w:rsid w:val="3AB47011"/>
    <w:rsid w:val="3AC93C11"/>
    <w:rsid w:val="3AFA4DFF"/>
    <w:rsid w:val="3B4433D7"/>
    <w:rsid w:val="3CE10208"/>
    <w:rsid w:val="3CF727B5"/>
    <w:rsid w:val="3D5866E5"/>
    <w:rsid w:val="3D5F768E"/>
    <w:rsid w:val="3D8B00CB"/>
    <w:rsid w:val="3DCB075C"/>
    <w:rsid w:val="3F830750"/>
    <w:rsid w:val="3FC741B0"/>
    <w:rsid w:val="3FEA00DC"/>
    <w:rsid w:val="40186B9A"/>
    <w:rsid w:val="40E8556B"/>
    <w:rsid w:val="41815D2F"/>
    <w:rsid w:val="419747DD"/>
    <w:rsid w:val="41F0685E"/>
    <w:rsid w:val="4254643D"/>
    <w:rsid w:val="42AC04D0"/>
    <w:rsid w:val="42CF7B25"/>
    <w:rsid w:val="42D00296"/>
    <w:rsid w:val="42FB7EAC"/>
    <w:rsid w:val="438A1CC5"/>
    <w:rsid w:val="439422FD"/>
    <w:rsid w:val="43A55CA5"/>
    <w:rsid w:val="43C425E1"/>
    <w:rsid w:val="4427562F"/>
    <w:rsid w:val="445A306B"/>
    <w:rsid w:val="44931256"/>
    <w:rsid w:val="45284074"/>
    <w:rsid w:val="45792FB7"/>
    <w:rsid w:val="457B724C"/>
    <w:rsid w:val="462A10E3"/>
    <w:rsid w:val="46CD39B0"/>
    <w:rsid w:val="46EE3A7C"/>
    <w:rsid w:val="477A1D28"/>
    <w:rsid w:val="47AE02B5"/>
    <w:rsid w:val="47BF466E"/>
    <w:rsid w:val="47D472D7"/>
    <w:rsid w:val="483A7F05"/>
    <w:rsid w:val="48912E94"/>
    <w:rsid w:val="49E44D8A"/>
    <w:rsid w:val="49EC5FF4"/>
    <w:rsid w:val="4A4051EF"/>
    <w:rsid w:val="4AD8290A"/>
    <w:rsid w:val="4AF24623"/>
    <w:rsid w:val="4B0D79C2"/>
    <w:rsid w:val="4B8078D6"/>
    <w:rsid w:val="4BEF5A8E"/>
    <w:rsid w:val="4C245667"/>
    <w:rsid w:val="4C421A8A"/>
    <w:rsid w:val="4D560C97"/>
    <w:rsid w:val="4DA43BD6"/>
    <w:rsid w:val="4DC63991"/>
    <w:rsid w:val="4DC73B97"/>
    <w:rsid w:val="4E5827B1"/>
    <w:rsid w:val="4E76155D"/>
    <w:rsid w:val="4E833A0E"/>
    <w:rsid w:val="4F2C3E65"/>
    <w:rsid w:val="50207E94"/>
    <w:rsid w:val="527B3ECE"/>
    <w:rsid w:val="52E30177"/>
    <w:rsid w:val="53417F4F"/>
    <w:rsid w:val="536E3862"/>
    <w:rsid w:val="550C0DEA"/>
    <w:rsid w:val="555B0AE3"/>
    <w:rsid w:val="55B151A9"/>
    <w:rsid w:val="55BF0E11"/>
    <w:rsid w:val="56136CDA"/>
    <w:rsid w:val="56182B77"/>
    <w:rsid w:val="56847B46"/>
    <w:rsid w:val="56D67B51"/>
    <w:rsid w:val="56FA7272"/>
    <w:rsid w:val="579F67E1"/>
    <w:rsid w:val="58981098"/>
    <w:rsid w:val="5901277B"/>
    <w:rsid w:val="592525C4"/>
    <w:rsid w:val="59321CCB"/>
    <w:rsid w:val="59753409"/>
    <w:rsid w:val="59D455F2"/>
    <w:rsid w:val="5AC45BA6"/>
    <w:rsid w:val="5B263A9C"/>
    <w:rsid w:val="5B397FB7"/>
    <w:rsid w:val="5B490CC0"/>
    <w:rsid w:val="5B7E3700"/>
    <w:rsid w:val="5C161418"/>
    <w:rsid w:val="5C16307A"/>
    <w:rsid w:val="5C3E421A"/>
    <w:rsid w:val="5C62269E"/>
    <w:rsid w:val="5C8D470C"/>
    <w:rsid w:val="5C9D39DA"/>
    <w:rsid w:val="5CB669E4"/>
    <w:rsid w:val="5D090ACA"/>
    <w:rsid w:val="5D433826"/>
    <w:rsid w:val="5D832EEF"/>
    <w:rsid w:val="5E1A7F73"/>
    <w:rsid w:val="5E390E1F"/>
    <w:rsid w:val="5E4635CA"/>
    <w:rsid w:val="5E584923"/>
    <w:rsid w:val="5E6621D5"/>
    <w:rsid w:val="5E8F6FF0"/>
    <w:rsid w:val="5EA12B1C"/>
    <w:rsid w:val="5EBF1F9E"/>
    <w:rsid w:val="5F3B1BE0"/>
    <w:rsid w:val="5F842392"/>
    <w:rsid w:val="5F991715"/>
    <w:rsid w:val="5FCF11E9"/>
    <w:rsid w:val="5FE4315F"/>
    <w:rsid w:val="600227C8"/>
    <w:rsid w:val="602B2D4A"/>
    <w:rsid w:val="607523D1"/>
    <w:rsid w:val="60F82C89"/>
    <w:rsid w:val="60FE2C3F"/>
    <w:rsid w:val="615146FA"/>
    <w:rsid w:val="62070FA1"/>
    <w:rsid w:val="62093885"/>
    <w:rsid w:val="621217BE"/>
    <w:rsid w:val="623B41C7"/>
    <w:rsid w:val="62526D3D"/>
    <w:rsid w:val="62CD2B33"/>
    <w:rsid w:val="63870B4C"/>
    <w:rsid w:val="63DB479D"/>
    <w:rsid w:val="64620820"/>
    <w:rsid w:val="64681E85"/>
    <w:rsid w:val="65991FF1"/>
    <w:rsid w:val="65EC7B94"/>
    <w:rsid w:val="6619624C"/>
    <w:rsid w:val="66342E08"/>
    <w:rsid w:val="66497A6B"/>
    <w:rsid w:val="666B0070"/>
    <w:rsid w:val="67A32D76"/>
    <w:rsid w:val="67AA3BE1"/>
    <w:rsid w:val="67BF6715"/>
    <w:rsid w:val="67E56BF0"/>
    <w:rsid w:val="68957C01"/>
    <w:rsid w:val="68A01520"/>
    <w:rsid w:val="68C6622F"/>
    <w:rsid w:val="69370731"/>
    <w:rsid w:val="69C04ABB"/>
    <w:rsid w:val="69E17CD8"/>
    <w:rsid w:val="69EB7AC5"/>
    <w:rsid w:val="6ACE4D37"/>
    <w:rsid w:val="6AD94EA8"/>
    <w:rsid w:val="6C1300A2"/>
    <w:rsid w:val="6C2D651B"/>
    <w:rsid w:val="6C43610C"/>
    <w:rsid w:val="6C485EB9"/>
    <w:rsid w:val="6CDE057E"/>
    <w:rsid w:val="6E7C4447"/>
    <w:rsid w:val="6EFC3A3C"/>
    <w:rsid w:val="6F03408E"/>
    <w:rsid w:val="6F227649"/>
    <w:rsid w:val="6F461335"/>
    <w:rsid w:val="70C7777F"/>
    <w:rsid w:val="72476A02"/>
    <w:rsid w:val="72620D8B"/>
    <w:rsid w:val="72AA2887"/>
    <w:rsid w:val="7396760B"/>
    <w:rsid w:val="73BC0182"/>
    <w:rsid w:val="73DC2F75"/>
    <w:rsid w:val="74966354"/>
    <w:rsid w:val="750263A5"/>
    <w:rsid w:val="752F546D"/>
    <w:rsid w:val="756015F8"/>
    <w:rsid w:val="758B2527"/>
    <w:rsid w:val="75A67A21"/>
    <w:rsid w:val="75E848BC"/>
    <w:rsid w:val="761F029E"/>
    <w:rsid w:val="762F4253"/>
    <w:rsid w:val="76355280"/>
    <w:rsid w:val="7655794F"/>
    <w:rsid w:val="7753681B"/>
    <w:rsid w:val="775F5B45"/>
    <w:rsid w:val="77667C2A"/>
    <w:rsid w:val="779C4B53"/>
    <w:rsid w:val="77B15C8C"/>
    <w:rsid w:val="77B91A0C"/>
    <w:rsid w:val="78431FAF"/>
    <w:rsid w:val="78823025"/>
    <w:rsid w:val="79153558"/>
    <w:rsid w:val="79421110"/>
    <w:rsid w:val="7A6E4950"/>
    <w:rsid w:val="7B12208E"/>
    <w:rsid w:val="7B2C1F5B"/>
    <w:rsid w:val="7B5A7743"/>
    <w:rsid w:val="7C27553B"/>
    <w:rsid w:val="7C391D27"/>
    <w:rsid w:val="7D312820"/>
    <w:rsid w:val="7D85733D"/>
    <w:rsid w:val="7DA17EF3"/>
    <w:rsid w:val="7DA85D23"/>
    <w:rsid w:val="7FCC438E"/>
    <w:rsid w:val="7FCE147D"/>
    <w:rsid w:val="7FEB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3">
    <w:name w:val="heading 2"/>
    <w:basedOn w:val="1"/>
    <w:next w:val="1"/>
    <w:link w:val="2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3"/>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99"/>
    <w:pPr>
      <w:jc w:val="left"/>
    </w:pPr>
  </w:style>
  <w:style w:type="paragraph" w:styleId="6">
    <w:name w:val="Body Text"/>
    <w:basedOn w:val="1"/>
    <w:link w:val="25"/>
    <w:qFormat/>
    <w:uiPriority w:val="1"/>
    <w:pPr>
      <w:autoSpaceDE w:val="0"/>
      <w:autoSpaceDN w:val="0"/>
      <w:adjustRightInd w:val="0"/>
      <w:spacing w:before="162"/>
      <w:ind w:left="120"/>
      <w:jc w:val="left"/>
    </w:pPr>
    <w:rPr>
      <w:rFonts w:ascii="宋体"/>
      <w:kern w:val="0"/>
      <w:sz w:val="20"/>
      <w:szCs w:val="21"/>
    </w:rPr>
  </w:style>
  <w:style w:type="paragraph" w:styleId="7">
    <w:name w:val="Date"/>
    <w:basedOn w:val="1"/>
    <w:next w:val="1"/>
    <w:link w:val="26"/>
    <w:unhideWhenUsed/>
    <w:qFormat/>
    <w:uiPriority w:val="99"/>
    <w:pPr>
      <w:ind w:left="100" w:leftChars="2500"/>
    </w:pPr>
  </w:style>
  <w:style w:type="paragraph" w:styleId="8">
    <w:name w:val="Balloon Text"/>
    <w:basedOn w:val="1"/>
    <w:link w:val="27"/>
    <w:unhideWhenUsed/>
    <w:qFormat/>
    <w:uiPriority w:val="99"/>
    <w:rPr>
      <w:kern w:val="0"/>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0"/>
    <w:unhideWhenUsed/>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1"/>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Char"/>
    <w:link w:val="2"/>
    <w:qFormat/>
    <w:uiPriority w:val="1"/>
    <w:rPr>
      <w:rFonts w:ascii="黑体" w:hAnsi="Times New Roman" w:eastAsia="黑体" w:cs="黑体"/>
      <w:b/>
      <w:bCs/>
      <w:kern w:val="0"/>
      <w:sz w:val="36"/>
      <w:szCs w:val="36"/>
    </w:rPr>
  </w:style>
  <w:style w:type="character" w:customStyle="1" w:styleId="22">
    <w:name w:val="标题 2 Char"/>
    <w:link w:val="3"/>
    <w:qFormat/>
    <w:uiPriority w:val="9"/>
    <w:rPr>
      <w:rFonts w:ascii="Cambria" w:hAnsi="Cambria" w:eastAsia="宋体" w:cs="Times New Roman"/>
      <w:b/>
      <w:bCs/>
      <w:sz w:val="32"/>
      <w:szCs w:val="32"/>
    </w:rPr>
  </w:style>
  <w:style w:type="character" w:customStyle="1" w:styleId="23">
    <w:name w:val="标题 3 Char"/>
    <w:link w:val="4"/>
    <w:qFormat/>
    <w:uiPriority w:val="1"/>
    <w:rPr>
      <w:rFonts w:ascii="宋体" w:hAnsi="Times New Roman" w:eastAsia="宋体" w:cs="宋体"/>
      <w:b/>
      <w:bCs/>
      <w:kern w:val="0"/>
      <w:szCs w:val="21"/>
    </w:rPr>
  </w:style>
  <w:style w:type="character" w:customStyle="1" w:styleId="24">
    <w:name w:val="批注文字 Char"/>
    <w:link w:val="5"/>
    <w:qFormat/>
    <w:uiPriority w:val="99"/>
    <w:rPr>
      <w:kern w:val="2"/>
      <w:sz w:val="21"/>
      <w:szCs w:val="22"/>
    </w:rPr>
  </w:style>
  <w:style w:type="character" w:customStyle="1" w:styleId="25">
    <w:name w:val="正文文本 Char"/>
    <w:link w:val="6"/>
    <w:qFormat/>
    <w:uiPriority w:val="1"/>
    <w:rPr>
      <w:rFonts w:ascii="宋体" w:hAnsi="Times New Roman" w:eastAsia="宋体" w:cs="宋体"/>
      <w:kern w:val="0"/>
      <w:szCs w:val="21"/>
    </w:rPr>
  </w:style>
  <w:style w:type="character" w:customStyle="1" w:styleId="26">
    <w:name w:val="日期 Char"/>
    <w:link w:val="7"/>
    <w:semiHidden/>
    <w:qFormat/>
    <w:uiPriority w:val="99"/>
  </w:style>
  <w:style w:type="character" w:customStyle="1" w:styleId="27">
    <w:name w:val="批注框文本 Char"/>
    <w:link w:val="8"/>
    <w:semiHidden/>
    <w:qFormat/>
    <w:uiPriority w:val="99"/>
    <w:rPr>
      <w:sz w:val="18"/>
      <w:szCs w:val="18"/>
    </w:rPr>
  </w:style>
  <w:style w:type="character" w:customStyle="1" w:styleId="28">
    <w:name w:val="页脚 Char"/>
    <w:link w:val="9"/>
    <w:qFormat/>
    <w:uiPriority w:val="99"/>
    <w:rPr>
      <w:sz w:val="18"/>
      <w:szCs w:val="18"/>
    </w:rPr>
  </w:style>
  <w:style w:type="character" w:customStyle="1" w:styleId="29">
    <w:name w:val="页眉 Char"/>
    <w:link w:val="10"/>
    <w:qFormat/>
    <w:uiPriority w:val="99"/>
    <w:rPr>
      <w:sz w:val="18"/>
      <w:szCs w:val="18"/>
    </w:rPr>
  </w:style>
  <w:style w:type="character" w:customStyle="1" w:styleId="30">
    <w:name w:val="脚注文本 Char1"/>
    <w:link w:val="11"/>
    <w:semiHidden/>
    <w:qFormat/>
    <w:uiPriority w:val="99"/>
    <w:rPr>
      <w:kern w:val="2"/>
      <w:sz w:val="18"/>
      <w:szCs w:val="18"/>
    </w:rPr>
  </w:style>
  <w:style w:type="character" w:customStyle="1" w:styleId="31">
    <w:name w:val="批注主题 Char"/>
    <w:link w:val="13"/>
    <w:semiHidden/>
    <w:qFormat/>
    <w:uiPriority w:val="99"/>
    <w:rPr>
      <w:b/>
      <w:bCs/>
      <w:kern w:val="2"/>
      <w:sz w:val="21"/>
      <w:szCs w:val="22"/>
    </w:rPr>
  </w:style>
  <w:style w:type="character" w:customStyle="1" w:styleId="32">
    <w:name w:val="未处理的提及"/>
    <w:unhideWhenUsed/>
    <w:qFormat/>
    <w:uiPriority w:val="99"/>
    <w:rPr>
      <w:color w:val="605E5C"/>
      <w:shd w:val="clear" w:color="auto" w:fill="E1DFDD"/>
    </w:rPr>
  </w:style>
  <w:style w:type="paragraph" w:customStyle="1" w:styleId="33">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kern w:val="0"/>
      <w:sz w:val="24"/>
      <w:szCs w:val="24"/>
    </w:rPr>
  </w:style>
  <w:style w:type="paragraph" w:styleId="37">
    <w:name w:val="List Paragraph"/>
    <w:basedOn w:val="1"/>
    <w:qFormat/>
    <w:uiPriority w:val="72"/>
    <w:pPr>
      <w:ind w:firstLine="420" w:firstLineChars="200"/>
    </w:pPr>
  </w:style>
  <w:style w:type="character" w:customStyle="1" w:styleId="38">
    <w:name w:val="脚注文本 Char"/>
    <w:semiHidden/>
    <w:qFormat/>
    <w:uiPriority w:val="99"/>
    <w:rPr>
      <w:kern w:val="2"/>
      <w:sz w:val="18"/>
      <w:szCs w:val="18"/>
    </w:rPr>
  </w:style>
  <w:style w:type="character" w:customStyle="1" w:styleId="39">
    <w:name w:val="markedcontent"/>
    <w:qFormat/>
    <w:uiPriority w:val="0"/>
  </w:style>
  <w:style w:type="character" w:customStyle="1" w:styleId="40">
    <w:name w:val="fontstyle01"/>
    <w:qFormat/>
    <w:uiPriority w:val="0"/>
    <w:rPr>
      <w:rFonts w:hint="eastAsia" w:ascii="宋体" w:hAnsi="宋体" w:eastAsia="宋体"/>
      <w:color w:val="000000"/>
      <w:sz w:val="22"/>
      <w:szCs w:val="22"/>
    </w:rPr>
  </w:style>
  <w:style w:type="character" w:styleId="41">
    <w:name w:val="Placeholder Text"/>
    <w:basedOn w:val="16"/>
    <w:unhideWhenUsed/>
    <w:qFormat/>
    <w:uiPriority w:val="99"/>
    <w:rPr>
      <w:color w:val="808080"/>
    </w:rPr>
  </w:style>
  <w:style w:type="paragraph" w:customStyle="1" w:styleId="42">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3">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C84CD-8877-47DD-8E2C-A441A4C53E4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6234</Words>
  <Characters>35537</Characters>
  <Lines>296</Lines>
  <Paragraphs>83</Paragraphs>
  <TotalTime>0</TotalTime>
  <ScaleCrop>false</ScaleCrop>
  <LinksUpToDate>false</LinksUpToDate>
  <CharactersWithSpaces>41688</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2022-11-13T05:12:00Z</dcterms:created>
  <dc:creator>JSYH</dc:creator>
  <cp:lastModifiedBy>lhy</cp:lastModifiedBy>
  <cp:lastPrinted>2022-03-04T08:58:00Z</cp:lastPrinted>
  <dcterms:modified xsi:type="dcterms:W3CDTF">2025-04-03T07:06:17Z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A30B4F8233A641D28C6BDF6F2DC6A43F</vt:lpwstr>
  </property>
  <property fmtid="{D5CDD505-2E9C-101B-9397-08002B2CF9AE}" pid="4" name="5B77E7CEEC58BC6AFAE8886BEB80DBEB">
    <vt:lpwstr>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</vt:lpwstr>
  </property>
</Properties>
</file>