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0" w:edGrp="everyone"/>
      <w:r>
        <w:rPr>
          <w:rStyle w:val="11"/>
          <w:rFonts w:hint="eastAsia" w:ascii="黑体" w:hAnsi="黑体" w:eastAsia="黑体"/>
          <w:sz w:val="28"/>
          <w:szCs w:val="28"/>
        </w:rPr>
        <w:t>【丰利悦动稳享7天最短持有期日开1号固收类】</w:t>
      </w:r>
      <w:permEnd w:id="0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（适用于个人投资者）</w:t>
      </w:r>
    </w:p>
    <w:p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>贵阳农村商业银行股份有限公司</w:t>
      </w:r>
      <w:r>
        <w:rPr>
          <w:rFonts w:hint="eastAsia" w:ascii="宋体" w:hAnsi="宋体"/>
          <w:sz w:val="18"/>
          <w:szCs w:val="18"/>
        </w:rPr>
        <w:t>】</w:t>
      </w:r>
      <w:permEnd w:id="1"/>
      <w:r>
        <w:rPr>
          <w:rFonts w:hint="eastAsia" w:ascii="宋体" w:hAnsi="宋体"/>
          <w:sz w:val="18"/>
          <w:szCs w:val="18"/>
        </w:rPr>
        <w:t>以(</w:t>
      </w:r>
      <w:permStart w:id="2" w:edGrp="everyone"/>
      <w:r>
        <w:rPr>
          <w:rFonts w:hint="eastAsia" w:ascii="宋体" w:hAnsi="宋体"/>
          <w:sz w:val="18"/>
          <w:szCs w:val="18"/>
        </w:rPr>
        <w:t>□ 直销：产品管理人销售/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 xml:space="preserve"> 代销：代理销售机构销售</w:t>
      </w:r>
      <w:permEnd w:id="2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协议书》、《产品说明书》、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》、</w:t>
      </w:r>
      <w:r>
        <w:rPr>
          <w:rFonts w:ascii="宋体" w:hAnsi="宋体"/>
          <w:sz w:val="18"/>
          <w:szCs w:val="18"/>
        </w:rPr>
        <w:t>《风险揭示书》、《投资者权益须知》以及其他有关文件（如有），确认已同意相关内容、充分了解相关风险并无疑问和异议后，签署相关销售文件，并办理购买手续。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您购买理财产品前，应确保已完成风险承受能力评估且风险评估结果在有效期内，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b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 xml:space="preserve">. 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投资者风险承受能力，个人投资者由低至高分为</w:t>
      </w:r>
      <w:permStart w:id="3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C1、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>C2、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C3、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C4、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C5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、□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6</w:t>
      </w:r>
      <w:r>
        <w:rPr>
          <w:rFonts w:hint="eastAsia" w:ascii="宋体" w:hAnsi="宋体"/>
          <w:sz w:val="18"/>
          <w:szCs w:val="18"/>
        </w:rPr>
        <w:t>】</w:t>
      </w:r>
      <w:permEnd w:id="3"/>
      <w:r>
        <w:rPr>
          <w:rFonts w:ascii="宋体" w:hAnsi="宋体"/>
          <w:sz w:val="18"/>
          <w:szCs w:val="18"/>
        </w:rPr>
        <w:t>。其中，</w:t>
      </w:r>
      <w:permStart w:id="4" w:edGrp="everyone"/>
      <w:r>
        <w:rPr>
          <w:rFonts w:hint="eastAsia" w:ascii="宋体" w:hAnsi="宋体"/>
          <w:sz w:val="18"/>
          <w:szCs w:val="18"/>
        </w:rPr>
        <w:t>【C</w:t>
      </w: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】</w:t>
      </w:r>
      <w:permEnd w:id="4"/>
      <w:r>
        <w:rPr>
          <w:rFonts w:ascii="宋体" w:hAnsi="宋体"/>
          <w:sz w:val="18"/>
          <w:szCs w:val="18"/>
        </w:rPr>
        <w:t>为风险承受能力最低类别，</w:t>
      </w:r>
      <w:permStart w:id="5" w:edGrp="everyone"/>
      <w:r>
        <w:rPr>
          <w:rFonts w:hint="eastAsia" w:ascii="宋体" w:hAnsi="宋体"/>
          <w:sz w:val="18"/>
          <w:szCs w:val="18"/>
        </w:rPr>
        <w:t>【C</w:t>
      </w:r>
      <w:r>
        <w:rPr>
          <w:rFonts w:ascii="宋体" w:hAnsi="宋体"/>
          <w:sz w:val="18"/>
          <w:szCs w:val="18"/>
        </w:rPr>
        <w:t>6</w:t>
      </w:r>
      <w:r>
        <w:rPr>
          <w:rFonts w:hint="eastAsia" w:ascii="宋体" w:hAnsi="宋体"/>
          <w:sz w:val="18"/>
          <w:szCs w:val="18"/>
        </w:rPr>
        <w:t>】</w:t>
      </w:r>
      <w:permEnd w:id="5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821"/>
        <w:gridCol w:w="2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permStart w:id="6" w:edGrp="everyone"/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安逸型（R1）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本金风险低，产品投资目标不能实现的概率较低；或投资范围仅限于货币市场工具等风险极低的短期金融资产。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安逸型（C1）及以上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谨慎型（R2）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本金风险相对较小，收益浮动但相对较小。产品结构简单，过往业绩及净值的历史波动率低；投资标的流动性很好或为较高等级的信用主体；或者衍生品及杠杆交易对净值波动极小；估值政策清晰。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谨慎型（C2）及以上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稳健型（R3）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有一定的本金风险，收益浮动且有一定波动。产品结构简单，过往业绩及净值的历史波动率较低；投资标的流动性好或为中等及以上的信用主体；或者投资衍生品以套期保值为目的，衍生品及杠杆交易对净值波动较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稳健型（C3）及以上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增长型（R4）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较大。产品主要投资于流动性较好的投资标的，产品结构简单，但收益浮动且波动很大，过往业绩及净值的历史波动率较高；或者投资标的流动性较差或为中等以下的信用主体，但产品结构简单，且不投资于衍生品及杠杆交易；估值政策简单；或者投资衍生品以套期保值为目的，衍生品及杠杆交易对净值波动较大，估值政策较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增长型（C4）及以上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进取型（R5）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很大，收益浮动且波动很大。产品结构较复杂，过往业绩及净值的历史波动率高；或者投资标的流动性较差或为低等级的信用主体，期限较长；或者投资衍生品以追求收益为目的，衍生品及杠杆交易对净值波动很大；估值政策较复杂。投资者要作出谨慎的产品选择，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进取型（C5）及以上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激进型（R6）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极大，收益浮动且波动极大。产品结构复杂，过往业绩及净值的历史波动率很高；或者投资标的流动性很差或为极低等级的信用主体，期限很长；或者投资衍生品以追求收益为目的，衍生品及杠杆交易对净值波动极大；估值政策非常复杂。投资者需要非常谨慎的产品选择、十分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激进型（C6） </w:t>
            </w:r>
          </w:p>
        </w:tc>
      </w:tr>
      <w:permEnd w:id="6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ind w:firstLine="361" w:firstLineChars="200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bookmarkStart w:id="0" w:name="_Hlk64707831"/>
      <w:r>
        <w:rPr>
          <w:rFonts w:hint="eastAsia" w:ascii="宋体" w:hAnsi="宋体"/>
          <w:sz w:val="18"/>
          <w:szCs w:val="18"/>
        </w:rPr>
        <w:t>1、产品管理人：兴银理财有限责任公司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  <w:bookmarkEnd w:id="0"/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permStart w:id="7" w:edGrp="everyone"/>
      <w:r>
        <w:rPr>
          <w:rFonts w:hint="eastAsia" w:ascii="宋体" w:hAnsi="宋体"/>
          <w:sz w:val="18"/>
          <w:szCs w:val="18"/>
        </w:rPr>
        <w:t>2、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3、销售机构：【</w:t>
      </w:r>
      <w:r>
        <w:rPr>
          <w:rFonts w:hint="eastAsia" w:ascii="宋体" w:hAnsi="宋体"/>
          <w:sz w:val="18"/>
          <w:szCs w:val="18"/>
          <w:lang w:val="en-US" w:eastAsia="zh-CN"/>
        </w:rPr>
        <w:t>贵阳农村商业银行股份有限公司</w:t>
      </w:r>
      <w:r>
        <w:rPr>
          <w:rFonts w:hint="eastAsia" w:ascii="宋体" w:hAnsi="宋体"/>
          <w:sz w:val="18"/>
          <w:szCs w:val="18"/>
        </w:rPr>
        <w:t>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通过【贵阳农商银行】（作为销售服务机构）购买本产品的，请联系【贵阳农商银行】，【贵阳农商银行】客户服务热线：【0851-96777】；【贵阳农商银行】门户网站：【www.gynsh.com】。</w:t>
      </w:r>
      <w:bookmarkStart w:id="1" w:name="_GoBack"/>
      <w:bookmarkEnd w:id="1"/>
    </w:p>
    <w:permEnd w:id="7"/>
    <w:p>
      <w:pPr>
        <w:ind w:firstLine="562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8" w:edGrp="everyone"/>
      <w:r>
        <w:rPr>
          <w:rStyle w:val="11"/>
          <w:rFonts w:hint="eastAsia" w:ascii="黑体" w:hAnsi="黑体" w:eastAsia="黑体"/>
          <w:sz w:val="28"/>
          <w:szCs w:val="28"/>
        </w:rPr>
        <w:t>【丰利悦动稳享7天最短持有期日开1号固收类】</w:t>
      </w:r>
      <w:permEnd w:id="8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spacing w:line="280" w:lineRule="atLeast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（适用于机构投资者：</w:t>
      </w:r>
      <w:r>
        <w:rPr>
          <w:rFonts w:hAnsi="宋体"/>
          <w:b/>
          <w:color w:val="auto"/>
          <w:sz w:val="28"/>
          <w:szCs w:val="28"/>
        </w:rPr>
        <w:t>一般机构客户</w:t>
      </w:r>
      <w:r>
        <w:rPr>
          <w:rFonts w:hint="eastAsia" w:hAnsi="宋体"/>
          <w:b/>
          <w:color w:val="auto"/>
          <w:sz w:val="28"/>
          <w:szCs w:val="28"/>
        </w:rPr>
        <w:t>）</w:t>
      </w:r>
    </w:p>
    <w:p>
      <w:pPr>
        <w:spacing w:line="280" w:lineRule="atLeas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9" w:edGrp="everyone"/>
      <w:r>
        <w:rPr>
          <w:rFonts w:hint="eastAsia" w:ascii="宋体" w:hAnsi="宋体"/>
          <w:sz w:val="18"/>
          <w:szCs w:val="18"/>
        </w:rPr>
        <w:t>【】</w:t>
      </w:r>
      <w:permEnd w:id="9"/>
      <w:r>
        <w:rPr>
          <w:rFonts w:hint="eastAsia" w:ascii="宋体" w:hAnsi="宋体"/>
          <w:sz w:val="18"/>
          <w:szCs w:val="18"/>
        </w:rPr>
        <w:t>以(</w:t>
      </w:r>
      <w:permStart w:id="10" w:edGrp="everyone"/>
      <w:r>
        <w:rPr>
          <w:rFonts w:hint="eastAsia" w:ascii="宋体" w:hAnsi="宋体"/>
          <w:sz w:val="18"/>
          <w:szCs w:val="18"/>
          <w:lang w:eastAsia="zh-CN"/>
        </w:rPr>
        <w:t>□</w:t>
      </w:r>
      <w:r>
        <w:rPr>
          <w:rFonts w:hint="eastAsia" w:ascii="宋体" w:hAnsi="宋体"/>
          <w:sz w:val="18"/>
          <w:szCs w:val="18"/>
        </w:rPr>
        <w:t xml:space="preserve"> 直销：产品管理人销售/</w:t>
      </w:r>
      <w:r>
        <w:rPr>
          <w:rFonts w:hint="eastAsia" w:ascii="宋体" w:hAnsi="宋体"/>
          <w:sz w:val="18"/>
          <w:szCs w:val="18"/>
          <w:lang w:eastAsia="zh-CN"/>
        </w:rPr>
        <w:t>□</w:t>
      </w:r>
      <w:r>
        <w:rPr>
          <w:rFonts w:hint="eastAsia" w:ascii="宋体" w:hAnsi="宋体"/>
          <w:sz w:val="18"/>
          <w:szCs w:val="18"/>
        </w:rPr>
        <w:t xml:space="preserve"> 代销：代理销售机构销售</w:t>
      </w:r>
      <w:permEnd w:id="10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协议书》、《产品说明书》、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》、</w:t>
      </w:r>
      <w:r>
        <w:rPr>
          <w:rFonts w:ascii="宋体" w:hAnsi="宋体"/>
          <w:sz w:val="18"/>
          <w:szCs w:val="18"/>
        </w:rPr>
        <w:t>《风险揭示书》、《投资者权益须知》以及其他有关文件（如有），确认已同意相关内容、充分了解相关风险并无疑问和异议后，签署相关销售文件，并办理购买手续。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您购买理财产品前，应确保已完成风险承受能力评估且风险评估结果在有效期内。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宋体" w:hAnsi="宋体"/>
          <w:b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.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投资者风险承受能力，机构投资者由低至高分为</w:t>
      </w:r>
      <w:permStart w:id="11" w:edGrp="everyone"/>
      <w:r>
        <w:rPr>
          <w:rFonts w:hint="eastAsia" w:ascii="宋体" w:hAnsi="宋体"/>
          <w:sz w:val="18"/>
          <w:szCs w:val="18"/>
        </w:rPr>
        <w:t>【】</w:t>
      </w:r>
      <w:permEnd w:id="11"/>
      <w:r>
        <w:rPr>
          <w:rFonts w:ascii="宋体" w:hAnsi="宋体"/>
          <w:sz w:val="18"/>
          <w:szCs w:val="18"/>
        </w:rPr>
        <w:t>。其中，</w:t>
      </w:r>
      <w:permStart w:id="12" w:edGrp="everyone"/>
      <w:r>
        <w:rPr>
          <w:rFonts w:hint="eastAsia" w:ascii="宋体" w:hAnsi="宋体"/>
          <w:sz w:val="18"/>
          <w:szCs w:val="18"/>
        </w:rPr>
        <w:t>【】</w:t>
      </w:r>
      <w:permEnd w:id="12"/>
      <w:r>
        <w:rPr>
          <w:rFonts w:ascii="宋体" w:hAnsi="宋体"/>
          <w:sz w:val="18"/>
          <w:szCs w:val="18"/>
        </w:rPr>
        <w:t>为风险承受能力最低类别，</w:t>
      </w:r>
      <w:permStart w:id="13" w:edGrp="everyone"/>
      <w:r>
        <w:rPr>
          <w:rFonts w:hint="eastAsia" w:ascii="宋体" w:hAnsi="宋体"/>
          <w:sz w:val="18"/>
          <w:szCs w:val="18"/>
        </w:rPr>
        <w:t>【】</w:t>
      </w:r>
      <w:permEnd w:id="13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84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permStart w:id="14" w:edGrp="everyone"/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permEnd w:id="14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spacing w:line="280" w:lineRule="atLeast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1、产品管理人：兴银理财有限责任公司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permStart w:id="15" w:edGrp="everyone"/>
      <w:r>
        <w:rPr>
          <w:rFonts w:hint="eastAsia" w:ascii="宋体" w:hAnsi="宋体"/>
          <w:sz w:val="18"/>
          <w:szCs w:val="18"/>
        </w:rPr>
        <w:t>2、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3、销售机构：【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</w:rPr>
        <w:t>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</w:rPr>
        <w:t>】</w:t>
      </w:r>
      <w:permEnd w:id="15"/>
    </w:p>
    <w:p>
      <w:pPr>
        <w:widowControl/>
        <w:spacing w:line="280" w:lineRule="atLeas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16" w:edGrp="everyone"/>
      <w:r>
        <w:rPr>
          <w:rStyle w:val="11"/>
          <w:rFonts w:hint="eastAsia" w:ascii="黑体" w:hAnsi="黑体" w:eastAsia="黑体"/>
          <w:sz w:val="28"/>
          <w:szCs w:val="28"/>
        </w:rPr>
        <w:t>【丰利悦动稳享7天最短持有期日开1号固收类】</w:t>
      </w:r>
      <w:permEnd w:id="16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（适用于机构投资者：金融</w:t>
      </w:r>
      <w:r>
        <w:rPr>
          <w:rFonts w:hAnsi="宋体"/>
          <w:b/>
          <w:color w:val="auto"/>
          <w:sz w:val="28"/>
          <w:szCs w:val="28"/>
        </w:rPr>
        <w:t>同业客户</w:t>
      </w:r>
      <w:r>
        <w:rPr>
          <w:rFonts w:hint="eastAsia" w:hAnsi="宋体"/>
          <w:b/>
          <w:color w:val="auto"/>
          <w:sz w:val="28"/>
          <w:szCs w:val="28"/>
        </w:rPr>
        <w:t>）</w:t>
      </w:r>
    </w:p>
    <w:p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7" w:edGrp="everyone"/>
      <w:r>
        <w:rPr>
          <w:rFonts w:hint="eastAsia" w:ascii="宋体" w:hAnsi="宋体"/>
          <w:sz w:val="18"/>
          <w:szCs w:val="18"/>
        </w:rPr>
        <w:t>【】</w:t>
      </w:r>
      <w:permEnd w:id="17"/>
      <w:r>
        <w:rPr>
          <w:rFonts w:hint="eastAsia" w:ascii="宋体" w:hAnsi="宋体"/>
          <w:sz w:val="18"/>
          <w:szCs w:val="18"/>
        </w:rPr>
        <w:t>以(</w:t>
      </w:r>
      <w:permStart w:id="18" w:edGrp="everyone"/>
      <w:r>
        <w:rPr>
          <w:rFonts w:hint="eastAsia" w:ascii="宋体" w:hAnsi="宋体"/>
          <w:sz w:val="18"/>
          <w:szCs w:val="18"/>
        </w:rPr>
        <w:t>□ 直销：产品管理人销售/□ 代销：代理销售机构销售</w:t>
      </w:r>
      <w:permEnd w:id="18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协议书》、《产品说明书》、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》、</w:t>
      </w:r>
      <w:r>
        <w:rPr>
          <w:rFonts w:ascii="宋体" w:hAnsi="宋体"/>
          <w:sz w:val="18"/>
          <w:szCs w:val="18"/>
        </w:rPr>
        <w:t>《风险揭示书》、《投资者权益须知》以及其他有关文件（如有），确认已同意相关内容、充分了解相关风险并无疑问和异议后，签署相关销售文件，并办理购买手续。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鉴于您为金融同业客户，销售机构暂不对您进行风险承受能力评估，请您根据您自身的</w:t>
      </w:r>
      <w:r>
        <w:rPr>
          <w:rFonts w:ascii="宋体" w:hAnsi="宋体"/>
          <w:sz w:val="18"/>
          <w:szCs w:val="18"/>
        </w:rPr>
        <w:t>风险承受能力购买</w:t>
      </w:r>
      <w:r>
        <w:rPr>
          <w:rFonts w:hint="eastAsia" w:ascii="宋体" w:hAnsi="宋体"/>
          <w:sz w:val="18"/>
          <w:szCs w:val="18"/>
        </w:rPr>
        <w:t>产品风险评级适合您的</w:t>
      </w:r>
      <w:r>
        <w:rPr>
          <w:rFonts w:ascii="宋体" w:hAnsi="宋体"/>
          <w:sz w:val="18"/>
          <w:szCs w:val="18"/>
        </w:rPr>
        <w:t>理财产品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ind w:firstLine="361" w:firstLineChars="200"/>
        <w:rPr>
          <w:rFonts w:asciiTheme="minorEastAsia" w:hAnsiTheme="minorEastAsia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1、产品管理人：兴银理财有限责任公司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permStart w:id="19" w:edGrp="everyone"/>
      <w:r>
        <w:rPr>
          <w:rFonts w:hint="eastAsia" w:ascii="宋体" w:hAnsi="宋体"/>
          <w:sz w:val="18"/>
          <w:szCs w:val="18"/>
        </w:rPr>
        <w:t>2、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3、销售机构：【】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  <w:permEnd w:id="19"/>
    </w:p>
    <w:sectPr>
      <w:headerReference r:id="rId3" w:type="default"/>
      <w:footerReference r:id="rId4" w:type="default"/>
      <w:pgSz w:w="11906" w:h="16838"/>
      <w:pgMar w:top="1440" w:right="1800" w:bottom="1440" w:left="1800" w:header="567" w:footer="96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320252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投资者权益须知</w:t>
    </w:r>
  </w:p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注：本文件由兴银理财有限责任公司统一编制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AES" w:cryptAlgorithmClass="hash" w:cryptAlgorithmType="typeAny" w:cryptAlgorithmSid="14" w:cryptSpinCount="100000" w:hash="87ReF9jOZuDV5b1LMiK7MevEYCHVpI6NM82XDqA2JnDj+s/mUN5J8eIOD1tnt/l6Cxvu0DWYpL2JTd7yXqyh8g==" w:salt="rp+4Vj6P5PrNgfFY2a3rP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2OGZmZGZmNmVlYjUwNTIxNTc2ODZmYmVjNTczMDIifQ=="/>
  </w:docVars>
  <w:rsids>
    <w:rsidRoot w:val="00D237B3"/>
    <w:rsid w:val="00012DF8"/>
    <w:rsid w:val="00044E9D"/>
    <w:rsid w:val="000466D9"/>
    <w:rsid w:val="0008384D"/>
    <w:rsid w:val="000921B4"/>
    <w:rsid w:val="000C4846"/>
    <w:rsid w:val="000E6147"/>
    <w:rsid w:val="00141624"/>
    <w:rsid w:val="0016652F"/>
    <w:rsid w:val="00171420"/>
    <w:rsid w:val="00195672"/>
    <w:rsid w:val="001D15B4"/>
    <w:rsid w:val="001D7F61"/>
    <w:rsid w:val="001E7CA6"/>
    <w:rsid w:val="0023468F"/>
    <w:rsid w:val="002462D8"/>
    <w:rsid w:val="00252EC4"/>
    <w:rsid w:val="00271331"/>
    <w:rsid w:val="00276F5A"/>
    <w:rsid w:val="002861F2"/>
    <w:rsid w:val="002A5F8E"/>
    <w:rsid w:val="002A6909"/>
    <w:rsid w:val="002B0017"/>
    <w:rsid w:val="002B56A0"/>
    <w:rsid w:val="002B6D4B"/>
    <w:rsid w:val="002C01C0"/>
    <w:rsid w:val="002E6656"/>
    <w:rsid w:val="0032735C"/>
    <w:rsid w:val="003B33DD"/>
    <w:rsid w:val="003B4628"/>
    <w:rsid w:val="003D624D"/>
    <w:rsid w:val="00456571"/>
    <w:rsid w:val="00484980"/>
    <w:rsid w:val="00493C89"/>
    <w:rsid w:val="004D586E"/>
    <w:rsid w:val="004E5B8C"/>
    <w:rsid w:val="00526973"/>
    <w:rsid w:val="00532846"/>
    <w:rsid w:val="00552ACB"/>
    <w:rsid w:val="00571A72"/>
    <w:rsid w:val="00592F0D"/>
    <w:rsid w:val="005A0FFB"/>
    <w:rsid w:val="005A17EF"/>
    <w:rsid w:val="005B4964"/>
    <w:rsid w:val="005D0C23"/>
    <w:rsid w:val="005D158B"/>
    <w:rsid w:val="005E4F9A"/>
    <w:rsid w:val="00622E88"/>
    <w:rsid w:val="00641888"/>
    <w:rsid w:val="006639A1"/>
    <w:rsid w:val="006B237F"/>
    <w:rsid w:val="006D2908"/>
    <w:rsid w:val="006E4016"/>
    <w:rsid w:val="006F100F"/>
    <w:rsid w:val="006F676E"/>
    <w:rsid w:val="006F690F"/>
    <w:rsid w:val="00710B52"/>
    <w:rsid w:val="007B231D"/>
    <w:rsid w:val="007C6A86"/>
    <w:rsid w:val="00812B92"/>
    <w:rsid w:val="00820AF6"/>
    <w:rsid w:val="00835EA0"/>
    <w:rsid w:val="008C2FE9"/>
    <w:rsid w:val="008E7821"/>
    <w:rsid w:val="008E7C7D"/>
    <w:rsid w:val="009606A0"/>
    <w:rsid w:val="00971F4B"/>
    <w:rsid w:val="009816B9"/>
    <w:rsid w:val="009A1C1D"/>
    <w:rsid w:val="009D1DC4"/>
    <w:rsid w:val="009E4DBC"/>
    <w:rsid w:val="00A4010F"/>
    <w:rsid w:val="00A44D6A"/>
    <w:rsid w:val="00A646F7"/>
    <w:rsid w:val="00A75734"/>
    <w:rsid w:val="00AA4438"/>
    <w:rsid w:val="00AB386C"/>
    <w:rsid w:val="00AC38B4"/>
    <w:rsid w:val="00AC71D9"/>
    <w:rsid w:val="00AD346C"/>
    <w:rsid w:val="00AF2C8D"/>
    <w:rsid w:val="00B02055"/>
    <w:rsid w:val="00B07EA5"/>
    <w:rsid w:val="00B16C9A"/>
    <w:rsid w:val="00B507EB"/>
    <w:rsid w:val="00B60E9F"/>
    <w:rsid w:val="00BD2BB0"/>
    <w:rsid w:val="00BE4E6B"/>
    <w:rsid w:val="00BF7C2F"/>
    <w:rsid w:val="00C004C7"/>
    <w:rsid w:val="00C018F3"/>
    <w:rsid w:val="00C202DE"/>
    <w:rsid w:val="00C24825"/>
    <w:rsid w:val="00C32FF7"/>
    <w:rsid w:val="00C448CA"/>
    <w:rsid w:val="00C8683D"/>
    <w:rsid w:val="00C86FD7"/>
    <w:rsid w:val="00CD5060"/>
    <w:rsid w:val="00CF06E2"/>
    <w:rsid w:val="00D01E10"/>
    <w:rsid w:val="00D237B3"/>
    <w:rsid w:val="00D56354"/>
    <w:rsid w:val="00D917DB"/>
    <w:rsid w:val="00DB67D6"/>
    <w:rsid w:val="00DD117E"/>
    <w:rsid w:val="00DD5F6E"/>
    <w:rsid w:val="00E01CA3"/>
    <w:rsid w:val="00E02B85"/>
    <w:rsid w:val="00E077CB"/>
    <w:rsid w:val="00E343C0"/>
    <w:rsid w:val="00E4791B"/>
    <w:rsid w:val="00EA7D7F"/>
    <w:rsid w:val="00EC5A48"/>
    <w:rsid w:val="00ED24F3"/>
    <w:rsid w:val="00EF1A43"/>
    <w:rsid w:val="00F126D2"/>
    <w:rsid w:val="00F33265"/>
    <w:rsid w:val="00F47A61"/>
    <w:rsid w:val="00F74AE2"/>
    <w:rsid w:val="00F81CAA"/>
    <w:rsid w:val="00F85BFD"/>
    <w:rsid w:val="00FC059B"/>
    <w:rsid w:val="121A1EA9"/>
    <w:rsid w:val="18EA67DB"/>
    <w:rsid w:val="1E705446"/>
    <w:rsid w:val="387158CE"/>
    <w:rsid w:val="38EE7B29"/>
    <w:rsid w:val="3E0F0635"/>
    <w:rsid w:val="52D4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1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annotation reference"/>
    <w:qFormat/>
    <w:uiPriority w:val="0"/>
    <w:rPr>
      <w:sz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0"/>
    <w:rPr>
      <w:rFonts w:ascii="宋体" w:hAnsi="Times New Roman" w:eastAsia="宋体" w:cs="Times New Roman"/>
      <w:b/>
      <w:color w:val="000000"/>
      <w:kern w:val="0"/>
      <w:sz w:val="24"/>
      <w:szCs w:val="20"/>
    </w:rPr>
  </w:style>
  <w:style w:type="character" w:customStyle="1" w:styleId="17">
    <w:name w:val="HTML 预设格式 Char"/>
    <w:basedOn w:val="10"/>
    <w:link w:val="7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文字 Char"/>
    <w:basedOn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文字 Char1"/>
    <w:basedOn w:val="10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5</Pages>
  <Words>701</Words>
  <Characters>4000</Characters>
  <Lines>33</Lines>
  <Paragraphs>9</Paragraphs>
  <TotalTime>0</TotalTime>
  <ScaleCrop>false</ScaleCrop>
  <LinksUpToDate>false</LinksUpToDate>
  <CharactersWithSpaces>4692</CharactersWithSpaces>
  <Application>WPS Office_12.1.0.15990_F1E327BC-269C-435d-A152-05C5408002CA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2023-11-06T01:28:00Z</dcterms:created>
  <dc:creator>胡骁潇</dc:creator>
  <cp:lastModifiedBy>Osier twig  </cp:lastModifiedBy>
  <dcterms:modified xsi:type="dcterms:W3CDTF">2025-01-08T11:55:20Z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9873E9C24C094D1B8CECDA42AF5A7960</vt:lpwstr>
  </property>
</Properties>
</file>