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551F8">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【丰利悦动稳享1个月最短持有期日开2号固收类】</w:t>
      </w:r>
      <w:permEnd w:id="0"/>
      <w:r>
        <w:rPr>
          <w:rFonts w:ascii="黑体" w:hAnsi="黑体" w:eastAsia="黑体"/>
          <w:b/>
          <w:bCs/>
          <w:sz w:val="28"/>
          <w:szCs w:val="28"/>
        </w:rPr>
        <w:t>理财产品</w:t>
      </w:r>
    </w:p>
    <w:p w14:paraId="69B3465F">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14:paraId="1D9F93F0">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14:paraId="0DFB2779">
      <w:pPr>
        <w:rPr>
          <w:rFonts w:ascii="宋体" w:hAnsi="宋体" w:cs="仿宋_GB2312"/>
          <w:b/>
          <w:kern w:val="0"/>
          <w:sz w:val="18"/>
          <w:szCs w:val="18"/>
        </w:rPr>
      </w:pPr>
      <w:r>
        <w:rPr>
          <w:rFonts w:hint="eastAsia" w:ascii="宋体" w:hAnsi="宋体" w:cs="仿宋_GB2312"/>
          <w:b/>
          <w:kern w:val="0"/>
          <w:sz w:val="18"/>
          <w:szCs w:val="18"/>
        </w:rPr>
        <w:t>尊敬的投资者：</w:t>
      </w:r>
    </w:p>
    <w:p w14:paraId="7725F2CB">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14:paraId="05E04B8A">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14:paraId="08BE8EEE">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14:paraId="159A4ECC">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14:paraId="5BCDA6F9">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【兴银理财丰利悦动稳享1个月最短持有期日开2号固收类理财产品</w:t>
      </w:r>
      <w:r>
        <w:rPr>
          <w:rFonts w:hint="eastAsia" w:asciiTheme="majorEastAsia" w:hAnsiTheme="majorEastAsia" w:eastAsiaTheme="majorEastAsia"/>
          <w:bCs/>
          <w:kern w:val="0"/>
          <w:sz w:val="18"/>
          <w:szCs w:val="18"/>
        </w:rPr>
        <w:t>】</w:t>
      </w:r>
      <w:permEnd w:id="1"/>
    </w:p>
    <w:p w14:paraId="7CB0146C">
      <w:pPr>
        <w:ind w:firstLine="448" w:firstLineChars="249"/>
        <w:rPr>
          <w:rFonts w:hint="eastAsia"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宋体" w:hAnsi="宋体" w:cs="仿宋_GB2312"/>
          <w:kern w:val="0"/>
          <w:sz w:val="18"/>
          <w:szCs w:val="18"/>
        </w:rPr>
        <w:t>【丰利悦动稳享1M持有期（兴普惠）A】（适用【A】类份额）</w:t>
      </w:r>
    </w:p>
    <w:p w14:paraId="40872D71">
      <w:pPr>
        <w:ind w:firstLine="448" w:firstLineChars="249"/>
        <w:rPr>
          <w:rFonts w:ascii="宋体" w:hAnsi="宋体" w:cs="仿宋_GB2312"/>
          <w:kern w:val="0"/>
          <w:sz w:val="18"/>
          <w:szCs w:val="18"/>
        </w:rPr>
      </w:pPr>
      <w:r>
        <w:rPr>
          <w:rFonts w:hint="eastAsia" w:ascii="宋体" w:hAnsi="宋体" w:cs="仿宋_GB2312"/>
          <w:kern w:val="0"/>
          <w:sz w:val="18"/>
          <w:szCs w:val="18"/>
        </w:rPr>
        <w:t xml:space="preserve"> </w:t>
      </w:r>
      <w:r>
        <w:rPr>
          <w:rFonts w:ascii="宋体" w:hAnsi="宋体" w:cs="仿宋_GB2312"/>
          <w:kern w:val="0"/>
          <w:sz w:val="18"/>
          <w:szCs w:val="18"/>
        </w:rPr>
        <w:t xml:space="preserve">         </w:t>
      </w:r>
      <w:r>
        <w:rPr>
          <w:rFonts w:hint="eastAsia" w:ascii="宋体" w:hAnsi="宋体" w:cs="仿宋_GB2312"/>
          <w:kern w:val="0"/>
          <w:sz w:val="18"/>
          <w:szCs w:val="18"/>
        </w:rPr>
        <w:t>【丰利悦动稳享1M持有期（兴普惠）B】（适用【B】类份额）</w:t>
      </w:r>
      <w:permEnd w:id="2"/>
    </w:p>
    <w:p w14:paraId="25DD8193">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permStart w:id="3" w:edGrp="everyone"/>
      <w:r>
        <w:rPr>
          <w:rFonts w:ascii="宋体" w:hAnsi="宋体" w:cs="仿宋_GB2312"/>
          <w:kern w:val="0"/>
          <w:sz w:val="18"/>
          <w:szCs w:val="18"/>
        </w:rPr>
        <w:t>【Z7002023001574】</w:t>
      </w:r>
      <w:permEnd w:id="3"/>
    </w:p>
    <w:p w14:paraId="216C8556">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14:paraId="5B440337">
      <w:pPr>
        <w:ind w:firstLine="448" w:firstLineChars="249"/>
        <w:rPr>
          <w:rFonts w:ascii="宋体" w:hAnsi="宋体" w:cs="仿宋_GB2312"/>
          <w:kern w:val="0"/>
          <w:sz w:val="18"/>
          <w:szCs w:val="18"/>
        </w:rPr>
      </w:pPr>
      <w:permStart w:id="4" w:edGrp="everyone"/>
      <w:r>
        <w:rPr>
          <w:rFonts w:hint="eastAsia" w:ascii="宋体" w:hAnsi="宋体" w:cs="仿宋_GB2312"/>
          <w:kern w:val="0"/>
          <w:sz w:val="18"/>
          <w:szCs w:val="18"/>
        </w:rPr>
        <w:t>【</w:t>
      </w:r>
      <w:r>
        <w:rPr>
          <w:rFonts w:hint="eastAsia" w:asciiTheme="majorEastAsia" w:hAnsiTheme="majorEastAsia" w:eastAsiaTheme="majorEastAsia"/>
          <w:sz w:val="18"/>
          <w:szCs w:val="18"/>
        </w:rPr>
        <w:t>公募</w:t>
      </w:r>
      <w:r>
        <w:rPr>
          <w:rFonts w:hint="eastAsia" w:ascii="宋体" w:hAnsi="宋体"/>
          <w:bCs/>
          <w:sz w:val="18"/>
          <w:szCs w:val="18"/>
        </w:rPr>
        <w:t>、开放式、固定收益类、非保本浮动</w:t>
      </w:r>
      <w:r>
        <w:rPr>
          <w:rFonts w:ascii="宋体" w:hAnsi="宋体"/>
          <w:bCs/>
          <w:sz w:val="18"/>
          <w:szCs w:val="18"/>
        </w:rPr>
        <w:t>收益</w:t>
      </w:r>
      <w:r>
        <w:rPr>
          <w:rFonts w:hint="eastAsia" w:ascii="宋体" w:hAnsi="宋体"/>
          <w:bCs/>
          <w:sz w:val="18"/>
          <w:szCs w:val="18"/>
        </w:rPr>
        <w:t>、净值型</w:t>
      </w:r>
      <w:r>
        <w:rPr>
          <w:rFonts w:hint="eastAsia" w:ascii="宋体" w:hAnsi="宋体" w:cs="仿宋_GB2312"/>
          <w:kern w:val="0"/>
          <w:sz w:val="18"/>
          <w:szCs w:val="18"/>
        </w:rPr>
        <w:t>】</w:t>
      </w:r>
      <w:permEnd w:id="4"/>
      <w:r>
        <w:rPr>
          <w:rFonts w:hint="eastAsia" w:ascii="宋体" w:hAnsi="宋体" w:cs="仿宋_GB2312"/>
          <w:kern w:val="0"/>
          <w:sz w:val="18"/>
          <w:szCs w:val="18"/>
        </w:rPr>
        <w:t>理财产品。</w:t>
      </w:r>
    </w:p>
    <w:p w14:paraId="02977C9D">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14:paraId="08944457">
      <w:pPr>
        <w:ind w:firstLine="448" w:firstLineChars="249"/>
        <w:rPr>
          <w:rFonts w:ascii="宋体" w:hAnsi="宋体" w:cs="仿宋_GB2312"/>
          <w:kern w:val="0"/>
          <w:sz w:val="18"/>
          <w:szCs w:val="18"/>
        </w:rPr>
      </w:pPr>
      <w:permStart w:id="5" w:edGrp="everyone"/>
      <w:r>
        <w:rPr>
          <w:rFonts w:hint="eastAsia" w:asciiTheme="majorEastAsia" w:hAnsiTheme="majorEastAsia" w:eastAsiaTheme="majorEastAsia"/>
          <w:bCs/>
          <w:sz w:val="18"/>
          <w:szCs w:val="18"/>
        </w:rPr>
        <w:t>【无固定期限】</w:t>
      </w:r>
      <w:permEnd w:id="5"/>
      <w:r>
        <w:rPr>
          <w:rFonts w:ascii="宋体" w:hAnsi="宋体" w:cs="仿宋_GB2312"/>
          <w:kern w:val="0"/>
          <w:sz w:val="18"/>
          <w:szCs w:val="18"/>
        </w:rPr>
        <w:t>。</w:t>
      </w:r>
    </w:p>
    <w:p w14:paraId="3DEEFA90">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14:paraId="140F4A32">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14:paraId="299E1883">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14:paraId="12AEEF89">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14:paraId="5C281AFB">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【R</w:t>
      </w:r>
      <w:r>
        <w:rPr>
          <w:rFonts w:ascii="宋体" w:hAnsi="宋体" w:cs="仿宋_GB2312"/>
          <w:kern w:val="0"/>
          <w:sz w:val="18"/>
          <w:szCs w:val="18"/>
        </w:rPr>
        <w:t>2】</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【R</w:t>
      </w:r>
      <w:r>
        <w:rPr>
          <w:rFonts w:ascii="宋体" w:hAnsi="宋体" w:cs="仿宋_GB2312"/>
          <w:kern w:val="0"/>
          <w:sz w:val="18"/>
          <w:szCs w:val="18"/>
        </w:rPr>
        <w:t>2</w:t>
      </w:r>
      <w:r>
        <w:rPr>
          <w:rFonts w:hint="eastAsia"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【R</w:t>
      </w:r>
      <w:r>
        <w:rPr>
          <w:rFonts w:ascii="宋体" w:hAnsi="宋体" w:cs="仿宋_GB2312"/>
          <w:kern w:val="0"/>
          <w:sz w:val="18"/>
          <w:szCs w:val="18"/>
        </w:rPr>
        <w:t>2</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54879E80">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14:paraId="71D87BAC">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14:paraId="190D7A43">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C6】</w:t>
      </w:r>
      <w:r>
        <w:rPr>
          <w:rFonts w:hint="eastAsia" w:asciiTheme="majorEastAsia" w:hAnsiTheme="majorEastAsia" w:eastAsiaTheme="majorEastAsia"/>
          <w:bCs/>
          <w:color w:val="000000" w:themeColor="text1"/>
          <w:sz w:val="18"/>
          <w:szCs w:val="18"/>
          <w14:textFill>
            <w14:solidFill>
              <w14:schemeClr w14:val="tx1"/>
            </w14:solidFill>
          </w14:textFill>
        </w:rPr>
        <w:t>。</w:t>
      </w:r>
    </w:p>
    <w:p w14:paraId="35180AB9">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□机构投资者：□一般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客户【□</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permEnd w:id="9"/>
    <w:p w14:paraId="20FE84F9">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14:paraId="5F3FFA1B">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14:paraId="346AB9BF">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14:paraId="7D64A95A">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14:paraId="0986A680">
      <w:pPr>
        <w:spacing w:line="360" w:lineRule="auto"/>
        <w:ind w:firstLine="360" w:firstLineChars="200"/>
        <w:rPr>
          <w:rFonts w:ascii="宋体" w:hAnsi="宋体"/>
          <w:bCs/>
          <w:sz w:val="18"/>
          <w:szCs w:val="18"/>
        </w:rPr>
      </w:pPr>
      <w:permStart w:id="10" w:edGrp="everyone"/>
      <w:r>
        <w:rPr>
          <w:rFonts w:hint="eastAsia" w:ascii="宋体" w:hAnsi="宋体"/>
          <w:sz w:val="18"/>
          <w:szCs w:val="18"/>
        </w:rPr>
        <w:t>【</w:t>
      </w:r>
      <w:r>
        <w:rPr>
          <w:rFonts w:ascii="宋体" w:hAnsi="宋体"/>
          <w:bCs/>
          <w:sz w:val="18"/>
          <w:szCs w:val="18"/>
        </w:rPr>
        <w:t>1.拟投资市场和资产的风险：</w:t>
      </w:r>
    </w:p>
    <w:p w14:paraId="0DAE4350">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1）投资</w:t>
      </w:r>
      <w:r>
        <w:rPr>
          <w:rFonts w:hint="eastAsia" w:ascii="宋体" w:hAnsi="宋体"/>
          <w:bCs/>
          <w:sz w:val="18"/>
          <w:szCs w:val="18"/>
        </w:rPr>
        <w:t>债权</w:t>
      </w:r>
      <w:r>
        <w:rPr>
          <w:rFonts w:ascii="宋体" w:hAnsi="宋体"/>
          <w:bCs/>
          <w:sz w:val="18"/>
          <w:szCs w:val="18"/>
        </w:rPr>
        <w:t>类资产的风险</w:t>
      </w:r>
    </w:p>
    <w:p w14:paraId="7158FA20">
      <w:pPr>
        <w:spacing w:line="360" w:lineRule="auto"/>
        <w:ind w:firstLine="360" w:firstLineChars="200"/>
        <w:rPr>
          <w:rFonts w:ascii="宋体" w:hAnsi="宋体"/>
          <w:bCs/>
          <w:sz w:val="18"/>
          <w:szCs w:val="18"/>
        </w:rPr>
      </w:pPr>
      <w:r>
        <w:rPr>
          <w:rFonts w:ascii="宋体" w:hAnsi="宋体"/>
          <w:bCs/>
          <w:sz w:val="18"/>
          <w:szCs w:val="18"/>
        </w:rPr>
        <w:t>1）投资标准化债权类资产的风险</w:t>
      </w:r>
    </w:p>
    <w:p w14:paraId="7D8081F3">
      <w:pPr>
        <w:spacing w:line="360" w:lineRule="auto"/>
        <w:ind w:firstLine="360" w:firstLineChars="200"/>
        <w:rPr>
          <w:rFonts w:ascii="宋体" w:hAnsi="宋体"/>
          <w:bCs/>
          <w:sz w:val="18"/>
          <w:szCs w:val="18"/>
        </w:rPr>
      </w:pPr>
      <w:r>
        <w:rPr>
          <w:rFonts w:hint="eastAsia" w:ascii="宋体" w:hAnsi="宋体"/>
          <w:bCs/>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46064FDF">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 xml:space="preserve">2）投资权益类资产的风险 </w:t>
      </w:r>
    </w:p>
    <w:p w14:paraId="7B32FCF1">
      <w:pPr>
        <w:spacing w:line="360" w:lineRule="auto"/>
        <w:ind w:firstLine="360" w:firstLineChars="200"/>
        <w:rPr>
          <w:rFonts w:ascii="宋体" w:hAnsi="宋体"/>
          <w:bCs/>
          <w:sz w:val="18"/>
          <w:szCs w:val="18"/>
        </w:rPr>
      </w:pPr>
      <w:r>
        <w:rPr>
          <w:rFonts w:ascii="宋体" w:hAnsi="宋体"/>
          <w:bCs/>
          <w:sz w:val="18"/>
          <w:szCs w:val="18"/>
        </w:rPr>
        <w:t>1）投资股票类资产的风险</w:t>
      </w:r>
    </w:p>
    <w:p w14:paraId="6E1EAF12">
      <w:pPr>
        <w:spacing w:line="360" w:lineRule="auto"/>
        <w:ind w:firstLine="360" w:firstLineChars="200"/>
        <w:rPr>
          <w:rFonts w:ascii="宋体" w:hAnsi="宋体"/>
          <w:bCs/>
          <w:sz w:val="18"/>
          <w:szCs w:val="18"/>
        </w:rPr>
      </w:pPr>
      <w:r>
        <w:rPr>
          <w:rFonts w:hint="eastAsia" w:ascii="宋体" w:hAnsi="宋体"/>
          <w:bCs/>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14:paraId="2A2F39C1">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 xml:space="preserve">3）投资商品和金融衍生品类资产的风险 </w:t>
      </w:r>
    </w:p>
    <w:p w14:paraId="3DE74798">
      <w:pPr>
        <w:spacing w:line="360" w:lineRule="auto"/>
        <w:ind w:firstLine="360" w:firstLineChars="200"/>
        <w:rPr>
          <w:rFonts w:ascii="宋体" w:hAnsi="宋体"/>
          <w:bCs/>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
    <w:permEnd w:id="10"/>
    <w:p w14:paraId="2A452C10">
      <w:pPr>
        <w:pStyle w:val="13"/>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14:paraId="3AB8191C">
      <w:pPr>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14:paraId="43A822F6">
      <w:pPr>
        <w:pStyle w:val="13"/>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14:paraId="2451FE67">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78997062">
      <w:pPr>
        <w:pStyle w:val="13"/>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14:paraId="31795DEF">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181556E5">
      <w:pPr>
        <w:pStyle w:val="13"/>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14:paraId="05B34418">
      <w:pPr>
        <w:pStyle w:val="13"/>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49480956">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14:paraId="6B9B000E">
      <w:pPr>
        <w:pStyle w:val="13"/>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345E14CB">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14:paraId="18508564">
      <w:pPr>
        <w:pStyle w:val="13"/>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14:paraId="641A1868">
      <w:pPr>
        <w:pStyle w:val="13"/>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14:paraId="582727C5">
      <w:pPr>
        <w:pStyle w:val="13"/>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14:paraId="712D902C">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14:paraId="77589D6D">
      <w:pPr>
        <w:pStyle w:val="13"/>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488ADA30">
      <w:pPr>
        <w:pStyle w:val="13"/>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14:paraId="11E12F31">
      <w:pPr>
        <w:pStyle w:val="13"/>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14:paraId="06DC36C8">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14:paraId="492E512D">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14:paraId="10ECFFDF">
      <w:pPr>
        <w:pStyle w:val="13"/>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14:paraId="6F20BD4A">
      <w:pPr>
        <w:pStyle w:val="13"/>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14:paraId="560AB153">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14:paraId="7341974A">
      <w:pPr>
        <w:pStyle w:val="13"/>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14:paraId="3655DF6E">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14:paraId="17694805">
      <w:pPr>
        <w:pStyle w:val="13"/>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14:paraId="3CFC9F1D">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14:paraId="4270F753">
      <w:pPr>
        <w:pStyle w:val="13"/>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14:paraId="02CCF230">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14:paraId="0B73D669">
      <w:pPr>
        <w:pStyle w:val="13"/>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14:paraId="75F52BBF">
      <w:pPr>
        <w:pStyle w:val="13"/>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14:paraId="599C38A9">
      <w:pPr>
        <w:pStyle w:val="13"/>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593686E1">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14:paraId="1BE15DA0">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14:paraId="2FD18E94">
      <w:pPr>
        <w:pStyle w:val="13"/>
        <w:ind w:firstLineChars="0"/>
        <w:rPr>
          <w:rFonts w:ascii="宋体" w:hAnsi="宋体"/>
          <w:b/>
          <w:bCs/>
          <w:sz w:val="18"/>
          <w:szCs w:val="18"/>
        </w:rPr>
      </w:pPr>
      <w:r>
        <w:rPr>
          <w:rFonts w:hint="eastAsia" w:ascii="宋体" w:hAnsi="宋体"/>
          <w:b/>
          <w:bCs/>
          <w:sz w:val="18"/>
          <w:szCs w:val="18"/>
        </w:rPr>
        <w:t>17.关联交易风险</w:t>
      </w:r>
    </w:p>
    <w:p w14:paraId="15579A3C">
      <w:pPr>
        <w:pStyle w:val="13"/>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5CC4BACC">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14:paraId="023F1D7F">
      <w:pPr>
        <w:autoSpaceDE w:val="0"/>
        <w:autoSpaceDN w:val="0"/>
        <w:adjustRightInd w:val="0"/>
        <w:ind w:firstLine="420"/>
        <w:jc w:val="left"/>
        <w:rPr>
          <w:rFonts w:ascii="黑体" w:hAnsi="黑体" w:eastAsia="黑体" w:cs="仿宋_GB2312"/>
          <w:kern w:val="0"/>
          <w:sz w:val="18"/>
          <w:szCs w:val="18"/>
        </w:rPr>
      </w:pPr>
      <w:r>
        <w:rPr>
          <w:rFonts w:hint="eastAsia" w:ascii="宋体"/>
          <w:b/>
          <w:bCs/>
          <w:color w:val="000000"/>
          <w:kern w:val="0"/>
          <w:sz w:val="18"/>
          <w:szCs w:val="18"/>
        </w:rPr>
        <w:t>五、【非机构投资者适用】</w:t>
      </w:r>
      <w:r>
        <w:rPr>
          <w:rFonts w:hint="eastAsia" w:ascii="宋体" w:hAnsi="宋体" w:cs="仿宋_GB2312"/>
          <w:kern w:val="0"/>
          <w:sz w:val="18"/>
          <w:szCs w:val="18"/>
        </w:rPr>
        <w:t>《投资者风险承受能力评估问卷》用于评估非机构投资者对金融工具及投资目标的相关风险的态度。非机构投资者可根据评估结果确定所属投资者类型，购买适合的理财产品。</w:t>
      </w:r>
      <w:r>
        <w:rPr>
          <w:rFonts w:hint="eastAsia" w:ascii="黑体" w:hAnsi="黑体" w:eastAsia="黑体" w:cs="仿宋_GB2312"/>
          <w:kern w:val="0"/>
          <w:sz w:val="18"/>
          <w:szCs w:val="18"/>
        </w:rPr>
        <w:t>如影响您风险承受能力的因素发生变化，请您及时重新完成风险承受能力评估。其他类型投资者的风险承受能力评估按照《（代理）销售协议书》约定或销售机构的销售政策执行。</w:t>
      </w:r>
    </w:p>
    <w:p w14:paraId="4A5B4E81">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14:paraId="2BDF7BA4">
      <w:pPr>
        <w:ind w:left="540"/>
        <w:jc w:val="right"/>
        <w:rPr>
          <w:rFonts w:ascii="宋体" w:hAnsi="宋体"/>
          <w:sz w:val="18"/>
          <w:szCs w:val="18"/>
        </w:rPr>
      </w:pPr>
    </w:p>
    <w:p w14:paraId="379705B7">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14:paraId="37C30DBB">
      <w:pPr>
        <w:wordWrap w:val="0"/>
        <w:ind w:left="540"/>
        <w:jc w:val="right"/>
        <w:rPr>
          <w:rFonts w:ascii="宋体" w:hAnsi="宋体"/>
          <w:sz w:val="18"/>
          <w:szCs w:val="18"/>
        </w:rPr>
      </w:pPr>
      <w:permStart w:id="11" w:edGrp="everyone"/>
      <w:r>
        <w:rPr>
          <w:rFonts w:hint="eastAsia" w:ascii="宋体" w:hAnsi="宋体"/>
          <w:sz w:val="18"/>
          <w:szCs w:val="18"/>
        </w:rPr>
        <w:t>销售机构（【贵阳农村商业银行股份有限公司</w:t>
      </w:r>
      <w:bookmarkStart w:id="0" w:name="_GoBack"/>
      <w:bookmarkEnd w:id="0"/>
      <w:r>
        <w:rPr>
          <w:rFonts w:hint="eastAsia" w:ascii="宋体" w:hAnsi="宋体"/>
          <w:sz w:val="18"/>
          <w:szCs w:val="18"/>
        </w:rPr>
        <w:t>】）</w:t>
      </w:r>
    </w:p>
    <w:permEnd w:id="11"/>
    <w:p w14:paraId="41A2A63F">
      <w:pPr>
        <w:widowControl/>
        <w:jc w:val="left"/>
        <w:rPr>
          <w:rFonts w:ascii="宋体" w:hAnsi="宋体"/>
          <w:sz w:val="18"/>
          <w:szCs w:val="18"/>
        </w:rPr>
      </w:pPr>
      <w:r>
        <w:rPr>
          <w:rFonts w:ascii="宋体" w:hAnsi="宋体"/>
          <w:sz w:val="18"/>
          <w:szCs w:val="18"/>
        </w:rPr>
        <w:br w:type="page"/>
      </w:r>
    </w:p>
    <w:p w14:paraId="17D0A76B">
      <w:pPr>
        <w:ind w:left="540"/>
        <w:jc w:val="right"/>
        <w:rPr>
          <w:rFonts w:ascii="宋体" w:hAnsi="宋体"/>
          <w:sz w:val="18"/>
          <w:szCs w:val="18"/>
        </w:rPr>
      </w:pPr>
    </w:p>
    <w:p w14:paraId="3AB366E6">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14:paraId="6AFCE7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14:paraId="0F7F53C8">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22BDEB69">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14:paraId="4BA962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14:paraId="033B7126">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14:paraId="1A706D0A">
            <w:pPr>
              <w:spacing w:line="280" w:lineRule="atLeast"/>
              <w:jc w:val="left"/>
              <w:rPr>
                <w:rFonts w:ascii="宋体" w:hAnsi="宋体" w:cs="Arial"/>
                <w:sz w:val="18"/>
                <w:szCs w:val="18"/>
              </w:rPr>
            </w:pPr>
          </w:p>
          <w:p w14:paraId="6613CEE2">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20F49210">
            <w:pPr>
              <w:spacing w:line="280" w:lineRule="atLeast"/>
              <w:jc w:val="left"/>
              <w:rPr>
                <w:rFonts w:ascii="宋体" w:hAnsi="宋体" w:cs="Arial"/>
                <w:kern w:val="0"/>
                <w:sz w:val="18"/>
                <w:szCs w:val="18"/>
              </w:rPr>
            </w:pPr>
          </w:p>
          <w:p w14:paraId="6194411C">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14:paraId="0F92AC16">
            <w:pPr>
              <w:spacing w:line="280" w:lineRule="atLeast"/>
              <w:jc w:val="left"/>
              <w:rPr>
                <w:rFonts w:ascii="宋体" w:hAnsi="宋体" w:cs="Arial"/>
                <w:kern w:val="0"/>
                <w:sz w:val="18"/>
                <w:szCs w:val="18"/>
              </w:rPr>
            </w:pPr>
          </w:p>
          <w:p w14:paraId="08E08477">
            <w:pPr>
              <w:spacing w:line="280" w:lineRule="atLeast"/>
              <w:jc w:val="left"/>
              <w:rPr>
                <w:kern w:val="0"/>
                <w:sz w:val="18"/>
                <w:szCs w:val="18"/>
                <w:u w:val="single"/>
              </w:rPr>
            </w:pPr>
            <w:r>
              <w:rPr>
                <w:rFonts w:hint="eastAsia" w:ascii="宋体" w:hAnsi="宋体" w:cs="Arial"/>
                <w:kern w:val="0"/>
                <w:sz w:val="18"/>
                <w:szCs w:val="18"/>
              </w:rPr>
              <w:t>请投资者在此抄录：</w:t>
            </w:r>
          </w:p>
          <w:p w14:paraId="28466CC0">
            <w:pPr>
              <w:spacing w:line="280" w:lineRule="atLeast"/>
              <w:jc w:val="left"/>
              <w:rPr>
                <w:kern w:val="0"/>
                <w:sz w:val="18"/>
                <w:szCs w:val="18"/>
                <w:u w:val="single"/>
              </w:rPr>
            </w:pPr>
          </w:p>
          <w:p w14:paraId="30C6B8F9">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投资者签字：</w:t>
            </w:r>
          </w:p>
          <w:p w14:paraId="52B2FD46">
            <w:pPr>
              <w:spacing w:line="280" w:lineRule="atLeast"/>
              <w:ind w:left="4200" w:firstLine="1080" w:firstLineChars="600"/>
              <w:jc w:val="left"/>
              <w:rPr>
                <w:rFonts w:ascii="宋体" w:hAnsi="宋体" w:cs="Arial"/>
                <w:kern w:val="0"/>
                <w:sz w:val="18"/>
                <w:szCs w:val="18"/>
              </w:rPr>
            </w:pPr>
          </w:p>
          <w:p w14:paraId="37AB57F2">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4359BFDF">
            <w:pPr>
              <w:spacing w:line="280" w:lineRule="atLeast"/>
              <w:ind w:left="4200" w:firstLine="1080" w:firstLineChars="600"/>
              <w:jc w:val="left"/>
              <w:rPr>
                <w:rFonts w:ascii="宋体" w:hAnsi="宋体" w:cs="Arial"/>
                <w:kern w:val="0"/>
                <w:sz w:val="18"/>
                <w:szCs w:val="18"/>
              </w:rPr>
            </w:pPr>
          </w:p>
          <w:p w14:paraId="6522A97F">
            <w:pPr>
              <w:spacing w:line="280" w:lineRule="atLeast"/>
              <w:jc w:val="left"/>
              <w:rPr>
                <w:rFonts w:ascii="宋体" w:hAnsi="宋体" w:cs="Arial"/>
                <w:kern w:val="0"/>
                <w:sz w:val="18"/>
                <w:szCs w:val="18"/>
              </w:rPr>
            </w:pPr>
            <w:r>
              <w:rPr>
                <w:rFonts w:hint="eastAsia"/>
                <w:b/>
                <w:kern w:val="0"/>
                <w:sz w:val="20"/>
                <w:szCs w:val="20"/>
              </w:rPr>
              <w:t>（本风险揭示书共有三份签署文本，第一联销售机构留存，第二联投资者留存，第三联产品管理人留存。）</w:t>
            </w:r>
          </w:p>
          <w:p w14:paraId="7DCD6505">
            <w:pPr>
              <w:spacing w:line="280" w:lineRule="atLeast"/>
              <w:jc w:val="right"/>
              <w:rPr>
                <w:rFonts w:ascii="宋体" w:hAnsi="宋体"/>
                <w:kern w:val="0"/>
                <w:sz w:val="18"/>
                <w:szCs w:val="18"/>
              </w:rPr>
            </w:pPr>
          </w:p>
        </w:tc>
      </w:tr>
    </w:tbl>
    <w:p w14:paraId="3C39B765">
      <w:pPr>
        <w:autoSpaceDE w:val="0"/>
        <w:autoSpaceDN w:val="0"/>
        <w:adjustRightInd w:val="0"/>
        <w:spacing w:line="360" w:lineRule="auto"/>
        <w:ind w:firstLine="420"/>
        <w:jc w:val="left"/>
        <w:rPr>
          <w:rFonts w:ascii="宋体" w:hAnsi="宋体"/>
          <w:sz w:val="24"/>
        </w:rPr>
      </w:pPr>
    </w:p>
    <w:p w14:paraId="0D3D6FAB">
      <w:pPr>
        <w:autoSpaceDE w:val="0"/>
        <w:autoSpaceDN w:val="0"/>
        <w:adjustRightInd w:val="0"/>
        <w:spacing w:line="360" w:lineRule="auto"/>
        <w:ind w:firstLine="420"/>
        <w:jc w:val="left"/>
        <w:rPr>
          <w:rFonts w:ascii="宋体" w:hAnsi="宋体"/>
          <w:sz w:val="24"/>
        </w:rPr>
      </w:pPr>
    </w:p>
    <w:p w14:paraId="08F19BA9">
      <w:pPr>
        <w:autoSpaceDE w:val="0"/>
        <w:autoSpaceDN w:val="0"/>
        <w:adjustRightInd w:val="0"/>
        <w:spacing w:line="360" w:lineRule="auto"/>
        <w:ind w:firstLine="420"/>
        <w:jc w:val="left"/>
        <w:rPr>
          <w:rFonts w:ascii="宋体" w:hAnsi="宋体"/>
          <w:sz w:val="24"/>
        </w:rPr>
      </w:pPr>
    </w:p>
    <w:p w14:paraId="37ED6023">
      <w:pPr>
        <w:autoSpaceDE w:val="0"/>
        <w:autoSpaceDN w:val="0"/>
        <w:adjustRightInd w:val="0"/>
        <w:spacing w:line="360" w:lineRule="auto"/>
        <w:ind w:firstLine="420"/>
        <w:jc w:val="left"/>
        <w:rPr>
          <w:rFonts w:ascii="宋体" w:hAnsi="宋体"/>
          <w:sz w:val="24"/>
        </w:rPr>
      </w:pPr>
    </w:p>
    <w:p w14:paraId="288DEBF8">
      <w:pPr>
        <w:rPr>
          <w:rFonts w:ascii="宋体" w:hAnsi="宋体" w:cs="Arial"/>
          <w:sz w:val="24"/>
        </w:rPr>
      </w:pPr>
    </w:p>
    <w:p w14:paraId="67A246FC">
      <w:pPr>
        <w:rPr>
          <w:rFonts w:ascii="宋体" w:hAnsi="宋体" w:cs="Arial"/>
          <w:sz w:val="24"/>
        </w:rPr>
      </w:pPr>
    </w:p>
    <w:p w14:paraId="578A0CBC">
      <w:pPr>
        <w:rPr>
          <w:rFonts w:ascii="宋体" w:hAnsi="宋体" w:cs="Arial"/>
          <w:sz w:val="24"/>
        </w:rPr>
      </w:pPr>
    </w:p>
    <w:p w14:paraId="6617644F">
      <w:pPr>
        <w:rPr>
          <w:rFonts w:ascii="宋体" w:hAnsi="宋体" w:cs="Arial"/>
          <w:sz w:val="24"/>
        </w:rPr>
      </w:pPr>
    </w:p>
    <w:p w14:paraId="2A7006A3">
      <w:pPr>
        <w:rPr>
          <w:rFonts w:ascii="宋体" w:hAnsi="宋体" w:cs="Arial"/>
          <w:sz w:val="24"/>
        </w:rPr>
      </w:pPr>
    </w:p>
    <w:p w14:paraId="26BB702F">
      <w:pPr>
        <w:rPr>
          <w:rFonts w:ascii="宋体" w:hAnsi="宋体" w:cs="Arial"/>
          <w:sz w:val="24"/>
        </w:rPr>
      </w:pPr>
    </w:p>
    <w:p w14:paraId="7FCB9429">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14:paraId="7560D2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14:paraId="3FFFE7F9">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577317B1">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r>
              <w:rPr>
                <w:rFonts w:ascii="宋体" w:hAnsi="宋体" w:cs="Arial"/>
                <w:b/>
                <w:kern w:val="0"/>
                <w:sz w:val="20"/>
                <w:szCs w:val="21"/>
              </w:rPr>
              <w:t>一般机构客户</w:t>
            </w:r>
            <w:r>
              <w:rPr>
                <w:rFonts w:hint="eastAsia" w:ascii="宋体" w:hAnsi="宋体" w:cs="Arial"/>
                <w:b/>
                <w:kern w:val="0"/>
                <w:sz w:val="20"/>
                <w:szCs w:val="21"/>
              </w:rPr>
              <w:t>）</w:t>
            </w:r>
          </w:p>
        </w:tc>
      </w:tr>
      <w:tr w14:paraId="11E7B3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14:paraId="1E6A9E0D">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14:paraId="7B3E0CA5">
            <w:pPr>
              <w:spacing w:line="280" w:lineRule="atLeast"/>
              <w:ind w:firstLine="360" w:firstLineChars="200"/>
              <w:jc w:val="left"/>
              <w:rPr>
                <w:rFonts w:ascii="宋体" w:hAnsi="宋体" w:cs="Arial"/>
                <w:kern w:val="0"/>
                <w:sz w:val="18"/>
                <w:szCs w:val="18"/>
              </w:rPr>
            </w:pPr>
          </w:p>
          <w:p w14:paraId="1678116D">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17414343">
            <w:pPr>
              <w:spacing w:line="280" w:lineRule="atLeast"/>
              <w:ind w:firstLine="360" w:firstLineChars="200"/>
              <w:jc w:val="left"/>
              <w:rPr>
                <w:rFonts w:ascii="宋体" w:hAnsi="宋体" w:cs="Arial"/>
                <w:kern w:val="0"/>
                <w:sz w:val="18"/>
                <w:szCs w:val="18"/>
              </w:rPr>
            </w:pPr>
          </w:p>
          <w:p w14:paraId="3DBE31D0">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4489D58C">
            <w:pPr>
              <w:spacing w:line="280" w:lineRule="atLeast"/>
              <w:jc w:val="left"/>
              <w:rPr>
                <w:rFonts w:ascii="宋体" w:hAnsi="宋体" w:cs="Arial"/>
                <w:kern w:val="0"/>
                <w:sz w:val="18"/>
                <w:szCs w:val="18"/>
              </w:rPr>
            </w:pPr>
          </w:p>
          <w:p w14:paraId="76D245A8">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7BC72A26">
            <w:pPr>
              <w:spacing w:line="280" w:lineRule="atLeast"/>
              <w:jc w:val="left"/>
              <w:rPr>
                <w:rFonts w:ascii="宋体" w:hAnsi="宋体" w:cs="Arial"/>
                <w:kern w:val="0"/>
                <w:sz w:val="18"/>
                <w:szCs w:val="18"/>
              </w:rPr>
            </w:pPr>
          </w:p>
          <w:p w14:paraId="22A8F835">
            <w:pPr>
              <w:spacing w:line="280" w:lineRule="atLeast"/>
              <w:jc w:val="left"/>
              <w:rPr>
                <w:rFonts w:ascii="宋体" w:hAnsi="宋体" w:cs="Arial"/>
                <w:kern w:val="0"/>
                <w:sz w:val="18"/>
                <w:szCs w:val="18"/>
              </w:rPr>
            </w:pPr>
            <w:r>
              <w:rPr>
                <w:rFonts w:hint="eastAsia" w:ascii="宋体" w:hAnsi="宋体" w:cs="Arial"/>
                <w:kern w:val="0"/>
                <w:sz w:val="18"/>
                <w:szCs w:val="18"/>
              </w:rPr>
              <w:t>机构投资者（盖章）：</w:t>
            </w:r>
          </w:p>
          <w:p w14:paraId="4746BB3B">
            <w:pPr>
              <w:spacing w:line="280" w:lineRule="atLeast"/>
              <w:jc w:val="left"/>
              <w:rPr>
                <w:rFonts w:ascii="宋体" w:hAnsi="宋体" w:cs="Arial"/>
                <w:kern w:val="0"/>
                <w:sz w:val="18"/>
                <w:szCs w:val="18"/>
              </w:rPr>
            </w:pPr>
          </w:p>
          <w:p w14:paraId="7F89A630">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（签字或盖章）：</w:t>
            </w:r>
          </w:p>
          <w:p w14:paraId="5EB984E2">
            <w:pPr>
              <w:spacing w:line="280" w:lineRule="atLeast"/>
              <w:ind w:left="4200" w:firstLine="1080" w:firstLineChars="600"/>
              <w:jc w:val="left"/>
              <w:rPr>
                <w:rFonts w:ascii="宋体" w:hAnsi="宋体" w:cs="Arial"/>
                <w:kern w:val="0"/>
                <w:sz w:val="18"/>
                <w:szCs w:val="18"/>
              </w:rPr>
            </w:pPr>
          </w:p>
          <w:p w14:paraId="0E2BBF47">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3F55ACDB">
            <w:pPr>
              <w:spacing w:line="280" w:lineRule="atLeast"/>
              <w:rPr>
                <w:kern w:val="0"/>
                <w:sz w:val="20"/>
                <w:szCs w:val="20"/>
              </w:rPr>
            </w:pPr>
          </w:p>
          <w:p w14:paraId="54D531E3">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14:paraId="00E2B2A8">
      <w:pPr>
        <w:widowControl/>
        <w:jc w:val="left"/>
        <w:rPr>
          <w:rFonts w:ascii="宋体" w:hAnsi="宋体"/>
          <w:b/>
          <w:sz w:val="28"/>
          <w:szCs w:val="28"/>
        </w:rPr>
      </w:pPr>
      <w:r>
        <w:rPr>
          <w:rFonts w:ascii="宋体" w:hAnsi="宋体"/>
          <w:b/>
          <w:sz w:val="28"/>
          <w:szCs w:val="28"/>
        </w:rPr>
        <w:br w:type="page"/>
      </w:r>
    </w:p>
    <w:tbl>
      <w:tblPr>
        <w:tblStyle w:val="8"/>
        <w:tblW w:w="838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88"/>
      </w:tblGrid>
      <w:tr w14:paraId="34E0F8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trPr>
        <w:tc>
          <w:tcPr>
            <w:tcW w:w="8388" w:type="dxa"/>
          </w:tcPr>
          <w:p w14:paraId="13EC8CFC">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74E94AA1">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（适用于机构投资者：金融同业</w:t>
            </w:r>
            <w:r>
              <w:rPr>
                <w:rFonts w:ascii="宋体" w:hAnsi="宋体" w:cs="Arial"/>
                <w:b/>
                <w:kern w:val="0"/>
                <w:sz w:val="20"/>
                <w:szCs w:val="21"/>
              </w:rPr>
              <w:t>客户</w:t>
            </w:r>
            <w:r>
              <w:rPr>
                <w:rFonts w:hint="eastAsia" w:ascii="宋体" w:hAnsi="宋体" w:cs="Arial"/>
                <w:b/>
                <w:kern w:val="0"/>
                <w:sz w:val="20"/>
                <w:szCs w:val="21"/>
              </w:rPr>
              <w:t>）</w:t>
            </w:r>
          </w:p>
        </w:tc>
      </w:tr>
      <w:tr w14:paraId="54B1BA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16" w:hRule="atLeast"/>
        </w:trPr>
        <w:tc>
          <w:tcPr>
            <w:tcW w:w="8388" w:type="dxa"/>
          </w:tcPr>
          <w:p w14:paraId="35B71304">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14:paraId="4B616229">
            <w:pPr>
              <w:spacing w:line="280" w:lineRule="atLeast"/>
              <w:ind w:firstLine="360" w:firstLineChars="200"/>
              <w:jc w:val="left"/>
              <w:rPr>
                <w:rFonts w:ascii="宋体" w:hAnsi="宋体" w:cs="Arial"/>
                <w:kern w:val="0"/>
                <w:sz w:val="18"/>
                <w:szCs w:val="18"/>
              </w:rPr>
            </w:pPr>
          </w:p>
          <w:p w14:paraId="71FF9356">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74C43F47">
            <w:pPr>
              <w:spacing w:line="280" w:lineRule="atLeast"/>
              <w:jc w:val="left"/>
              <w:rPr>
                <w:rFonts w:ascii="宋体" w:hAnsi="宋体" w:cs="Arial"/>
                <w:kern w:val="0"/>
                <w:sz w:val="18"/>
                <w:szCs w:val="18"/>
              </w:rPr>
            </w:pPr>
          </w:p>
          <w:p w14:paraId="27BC7C82">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0501487E">
            <w:pPr>
              <w:spacing w:line="280" w:lineRule="atLeast"/>
              <w:jc w:val="left"/>
              <w:rPr>
                <w:rFonts w:ascii="宋体" w:hAnsi="宋体" w:cs="Arial"/>
                <w:kern w:val="0"/>
                <w:sz w:val="18"/>
                <w:szCs w:val="18"/>
              </w:rPr>
            </w:pPr>
          </w:p>
          <w:p w14:paraId="1D46C545">
            <w:pPr>
              <w:spacing w:line="280" w:lineRule="atLeast"/>
              <w:jc w:val="left"/>
              <w:rPr>
                <w:rFonts w:ascii="宋体" w:hAnsi="宋体" w:cs="Arial"/>
                <w:kern w:val="0"/>
                <w:sz w:val="18"/>
                <w:szCs w:val="18"/>
              </w:rPr>
            </w:pPr>
            <w:r>
              <w:rPr>
                <w:rFonts w:hint="eastAsia" w:ascii="宋体" w:hAnsi="宋体" w:cs="Arial"/>
                <w:kern w:val="0"/>
                <w:sz w:val="18"/>
                <w:szCs w:val="18"/>
              </w:rPr>
              <w:t>机构投资者（盖章）：</w:t>
            </w:r>
          </w:p>
          <w:p w14:paraId="3F0AA416">
            <w:pPr>
              <w:spacing w:line="280" w:lineRule="atLeast"/>
              <w:jc w:val="left"/>
              <w:rPr>
                <w:rFonts w:ascii="宋体" w:hAnsi="宋体" w:cs="Arial"/>
                <w:kern w:val="0"/>
                <w:sz w:val="18"/>
                <w:szCs w:val="18"/>
              </w:rPr>
            </w:pPr>
          </w:p>
          <w:p w14:paraId="1645A66D">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（签字或盖章）：</w:t>
            </w:r>
          </w:p>
          <w:p w14:paraId="090E738D">
            <w:pPr>
              <w:spacing w:line="280" w:lineRule="atLeast"/>
              <w:ind w:left="4200" w:firstLine="1080" w:firstLineChars="600"/>
              <w:jc w:val="left"/>
              <w:rPr>
                <w:rFonts w:ascii="宋体" w:hAnsi="宋体" w:cs="Arial"/>
                <w:kern w:val="0"/>
                <w:sz w:val="18"/>
                <w:szCs w:val="18"/>
              </w:rPr>
            </w:pPr>
          </w:p>
          <w:p w14:paraId="0A73946F">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0F12203F">
            <w:pPr>
              <w:spacing w:line="280" w:lineRule="atLeast"/>
              <w:rPr>
                <w:kern w:val="0"/>
                <w:sz w:val="20"/>
                <w:szCs w:val="20"/>
              </w:rPr>
            </w:pPr>
          </w:p>
          <w:p w14:paraId="456BD406">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14:paraId="4149D60B"/>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docPartObj>
        <w:docPartGallery w:val="autotext"/>
      </w:docPartObj>
    </w:sdtPr>
    <w:sdtContent>
      <w:p w14:paraId="248A0A3B">
        <w:pPr>
          <w:pStyle w:val="4"/>
          <w:jc w:val="center"/>
        </w:pPr>
        <w:r>
          <w:fldChar w:fldCharType="begin"/>
        </w:r>
        <w:r>
          <w:instrText xml:space="preserve">PAGE   \* MERGEFORMAT</w:instrText>
        </w:r>
        <w:r>
          <w:fldChar w:fldCharType="separate"/>
        </w:r>
        <w:r>
          <w:rPr>
            <w:lang w:val="zh-CN"/>
          </w:rPr>
          <w:t>1</w:t>
        </w:r>
        <w:r>
          <w:fldChar w:fldCharType="end"/>
        </w:r>
      </w:p>
    </w:sdtContent>
  </w:sdt>
  <w:p w14:paraId="5EB73B5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AE713">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14:paraId="5BCF8444">
    <w:pPr>
      <w:pStyle w:val="5"/>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dit="readOnly" w:enforcement="1" w:cryptProviderType="rsaAES" w:cryptAlgorithmClass="hash" w:cryptAlgorithmType="typeAny" w:cryptAlgorithmSid="14" w:cryptSpinCount="100000" w:hash="CFg1/56cfVa5U2faLtUNrMK71se8sljr2inmQQTYVbMxVfhpY8KHrOlTqnSy/KCcnZgiOCMyUOW1gnUU19wqxg==" w:salt="eZErbDTZWBC/n3NgsdmBw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00AF0"/>
    <w:rsid w:val="00041A7D"/>
    <w:rsid w:val="00043883"/>
    <w:rsid w:val="00072BB9"/>
    <w:rsid w:val="0007452F"/>
    <w:rsid w:val="000810B0"/>
    <w:rsid w:val="00096AC8"/>
    <w:rsid w:val="000A244A"/>
    <w:rsid w:val="000B16F1"/>
    <w:rsid w:val="000B357F"/>
    <w:rsid w:val="000C29F2"/>
    <w:rsid w:val="001104E8"/>
    <w:rsid w:val="00111BC0"/>
    <w:rsid w:val="00152999"/>
    <w:rsid w:val="0016348F"/>
    <w:rsid w:val="00165803"/>
    <w:rsid w:val="00184099"/>
    <w:rsid w:val="001973AC"/>
    <w:rsid w:val="001B0D8C"/>
    <w:rsid w:val="00204FA5"/>
    <w:rsid w:val="00257D92"/>
    <w:rsid w:val="00262560"/>
    <w:rsid w:val="002B63FC"/>
    <w:rsid w:val="002C604E"/>
    <w:rsid w:val="002F0B15"/>
    <w:rsid w:val="002F1555"/>
    <w:rsid w:val="0034386A"/>
    <w:rsid w:val="00346ED2"/>
    <w:rsid w:val="00353CD6"/>
    <w:rsid w:val="00374070"/>
    <w:rsid w:val="003807A0"/>
    <w:rsid w:val="003E1A68"/>
    <w:rsid w:val="003E62FD"/>
    <w:rsid w:val="003F1C32"/>
    <w:rsid w:val="00420545"/>
    <w:rsid w:val="00420D74"/>
    <w:rsid w:val="00425540"/>
    <w:rsid w:val="004565CB"/>
    <w:rsid w:val="00462EFE"/>
    <w:rsid w:val="00466605"/>
    <w:rsid w:val="00467B46"/>
    <w:rsid w:val="00487FB0"/>
    <w:rsid w:val="00494B39"/>
    <w:rsid w:val="00497C4C"/>
    <w:rsid w:val="004B5DD6"/>
    <w:rsid w:val="004C7F5E"/>
    <w:rsid w:val="004D121D"/>
    <w:rsid w:val="00503054"/>
    <w:rsid w:val="00527A03"/>
    <w:rsid w:val="00534346"/>
    <w:rsid w:val="00563E8F"/>
    <w:rsid w:val="00585375"/>
    <w:rsid w:val="00587FCA"/>
    <w:rsid w:val="005A63C8"/>
    <w:rsid w:val="005C0C1C"/>
    <w:rsid w:val="005C1E6C"/>
    <w:rsid w:val="005C6FCB"/>
    <w:rsid w:val="005D4CD6"/>
    <w:rsid w:val="005F48BE"/>
    <w:rsid w:val="0063748B"/>
    <w:rsid w:val="006538E1"/>
    <w:rsid w:val="006C7A06"/>
    <w:rsid w:val="006D21BB"/>
    <w:rsid w:val="007303F6"/>
    <w:rsid w:val="00774066"/>
    <w:rsid w:val="00791677"/>
    <w:rsid w:val="007B017F"/>
    <w:rsid w:val="007C7189"/>
    <w:rsid w:val="007D3800"/>
    <w:rsid w:val="007F16C3"/>
    <w:rsid w:val="007F7774"/>
    <w:rsid w:val="0080662E"/>
    <w:rsid w:val="00836C1F"/>
    <w:rsid w:val="00866C85"/>
    <w:rsid w:val="00866F5C"/>
    <w:rsid w:val="00871FCB"/>
    <w:rsid w:val="00894EE6"/>
    <w:rsid w:val="0089732B"/>
    <w:rsid w:val="008A1DC3"/>
    <w:rsid w:val="008A707D"/>
    <w:rsid w:val="008D3E86"/>
    <w:rsid w:val="008D6733"/>
    <w:rsid w:val="008F2B54"/>
    <w:rsid w:val="00904F53"/>
    <w:rsid w:val="00955293"/>
    <w:rsid w:val="0096566F"/>
    <w:rsid w:val="009722F0"/>
    <w:rsid w:val="00981E5B"/>
    <w:rsid w:val="00A00AF5"/>
    <w:rsid w:val="00A32EC2"/>
    <w:rsid w:val="00A83DE9"/>
    <w:rsid w:val="00A95D0C"/>
    <w:rsid w:val="00AB081F"/>
    <w:rsid w:val="00AB1E9D"/>
    <w:rsid w:val="00AD678C"/>
    <w:rsid w:val="00AE5AA3"/>
    <w:rsid w:val="00AF00FE"/>
    <w:rsid w:val="00B03943"/>
    <w:rsid w:val="00B06267"/>
    <w:rsid w:val="00B07DEF"/>
    <w:rsid w:val="00B27014"/>
    <w:rsid w:val="00B35D81"/>
    <w:rsid w:val="00B3723D"/>
    <w:rsid w:val="00B53F51"/>
    <w:rsid w:val="00BA32B7"/>
    <w:rsid w:val="00BB513F"/>
    <w:rsid w:val="00BC1259"/>
    <w:rsid w:val="00BC398E"/>
    <w:rsid w:val="00BD22F1"/>
    <w:rsid w:val="00BE1A3A"/>
    <w:rsid w:val="00BF6030"/>
    <w:rsid w:val="00C01696"/>
    <w:rsid w:val="00C4233D"/>
    <w:rsid w:val="00CC4F45"/>
    <w:rsid w:val="00D03CCD"/>
    <w:rsid w:val="00D46533"/>
    <w:rsid w:val="00D83BD5"/>
    <w:rsid w:val="00D91389"/>
    <w:rsid w:val="00D969DB"/>
    <w:rsid w:val="00DA2C69"/>
    <w:rsid w:val="00DC5611"/>
    <w:rsid w:val="00DC63C2"/>
    <w:rsid w:val="00DD246D"/>
    <w:rsid w:val="00DD5ABC"/>
    <w:rsid w:val="00E27306"/>
    <w:rsid w:val="00E32DA9"/>
    <w:rsid w:val="00E36D20"/>
    <w:rsid w:val="00E504DE"/>
    <w:rsid w:val="00E80603"/>
    <w:rsid w:val="00EB34F9"/>
    <w:rsid w:val="00EC25AF"/>
    <w:rsid w:val="00EE0296"/>
    <w:rsid w:val="00F2208D"/>
    <w:rsid w:val="00F34E57"/>
    <w:rsid w:val="00F57B20"/>
    <w:rsid w:val="00F8077D"/>
    <w:rsid w:val="00F855B5"/>
    <w:rsid w:val="00FF75B3"/>
    <w:rsid w:val="01540E14"/>
    <w:rsid w:val="093C4710"/>
    <w:rsid w:val="23024B39"/>
    <w:rsid w:val="4EEE53D9"/>
    <w:rsid w:val="601969DF"/>
    <w:rsid w:val="659C2FA3"/>
    <w:rsid w:val="6F0C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0"/>
    <w:pPr>
      <w:ind w:firstLine="420" w:firstLineChars="200"/>
    </w:pPr>
  </w:style>
  <w:style w:type="character" w:customStyle="1" w:styleId="14">
    <w:name w:val="批注文字 Char"/>
    <w:basedOn w:val="9"/>
    <w:link w:val="2"/>
    <w:qFormat/>
    <w:uiPriority w:val="99"/>
    <w:rPr>
      <w:rFonts w:ascii="Calibri" w:hAnsi="Calibri" w:eastAsia="宋体" w:cs="宋体"/>
    </w:rPr>
  </w:style>
  <w:style w:type="character" w:customStyle="1" w:styleId="15">
    <w:name w:val="批注主题 Char"/>
    <w:basedOn w:val="14"/>
    <w:link w:val="6"/>
    <w:semiHidden/>
    <w:qFormat/>
    <w:uiPriority w:val="99"/>
    <w:rPr>
      <w:rFonts w:ascii="Calibri" w:hAnsi="Calibri" w:eastAsia="宋体" w:cs="宋体"/>
      <w:b/>
      <w:bCs/>
    </w:rPr>
  </w:style>
  <w:style w:type="character" w:customStyle="1" w:styleId="16">
    <w:name w:val="批注框文本 Char"/>
    <w:basedOn w:val="9"/>
    <w:link w:val="3"/>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7</Pages>
  <Words>5372</Words>
  <Characters>5430</Characters>
  <Lines>40</Lines>
  <Paragraphs>11</Paragraphs>
  <TotalTime>0</TotalTime>
  <ScaleCrop>false</ScaleCrop>
  <LinksUpToDate>false</LinksUpToDate>
  <CharactersWithSpaces>5564</CharactersWithSpaces>
  <Application>WPS Office_12.1.0.18912_F1E327BC-269C-435d-A152-05C5408002CA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2023-10-31T13:04:00Z</dcterms:created>
  <dc:creator>胡骁潇</dc:creator>
  <cp:lastModifiedBy>Osier twig  </cp:lastModifiedBy>
  <dcterms:modified xsi:type="dcterms:W3CDTF">2025-01-21T03:25:11Z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49928E94B90B4374B369EF2C00308363</vt:lpwstr>
  </property>
</Properties>
</file>