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清镇农商银行</w:t>
      </w:r>
      <w:r>
        <w:rPr>
          <w:rFonts w:hint="default" w:ascii="Times New Roman" w:hAnsi="Times New Roman" w:eastAsia="方正小标宋简体" w:cs="Times New Roman"/>
          <w:sz w:val="44"/>
          <w:szCs w:val="44"/>
          <w:lang w:val="en-US" w:eastAsia="zh-CN"/>
        </w:rPr>
        <w:t>2026</w:t>
      </w:r>
      <w:r>
        <w:rPr>
          <w:rFonts w:hint="eastAsia" w:ascii="方正小标宋简体" w:hAnsi="方正小标宋简体" w:eastAsia="方正小标宋简体" w:cs="方正小标宋简体"/>
          <w:sz w:val="44"/>
          <w:szCs w:val="44"/>
          <w:lang w:val="en-US" w:eastAsia="zh-CN"/>
        </w:rPr>
        <w:t>年全辖安保人员服务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采购项目成交公告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项目名称：清镇农商银行</w:t>
      </w:r>
      <w:r>
        <w:rPr>
          <w:rFonts w:hint="default" w:ascii="Times New Roman" w:hAnsi="Times New Roman" w:eastAsia="仿宋_GB2312" w:cs="Times New Roman"/>
          <w:sz w:val="32"/>
          <w:szCs w:val="32"/>
        </w:rPr>
        <w:t>2026</w:t>
      </w:r>
      <w:r>
        <w:rPr>
          <w:rFonts w:hint="eastAsia" w:ascii="仿宋_GB2312" w:hAnsi="仿宋_GB2312" w:eastAsia="仿宋_GB2312" w:cs="仿宋_GB2312"/>
          <w:sz w:val="32"/>
          <w:szCs w:val="32"/>
        </w:rPr>
        <w:t>年全辖安保人员服务采购项目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sz w:val="32"/>
          <w:szCs w:val="32"/>
          <w:lang w:val="en-US" w:eastAsia="zh-CN"/>
        </w:rPr>
        <w:t>采购内容：</w:t>
      </w:r>
      <w:r>
        <w:rPr>
          <w:rFonts w:hint="eastAsia" w:ascii="仿宋_GB2312" w:hAnsi="仿宋_GB2312" w:eastAsia="仿宋_GB2312" w:cs="仿宋_GB2312"/>
          <w:color w:val="auto"/>
          <w:sz w:val="32"/>
          <w:szCs w:val="32"/>
          <w:highlight w:val="none"/>
          <w:shd w:val="clear" w:color="auto" w:fill="auto"/>
          <w:lang w:val="en-US" w:eastAsia="zh-CN"/>
        </w:rPr>
        <w:t>派驻保安人员在我行需要保安执勤的地点开展执勤。执勤范围：我行所辖办公场所及营业大厅安全防卫执勤工作及其他需要保安执勤的场所，主要区域包括客户服务区域（含自助银行）、周界防护区域，内部车辆停放区域，人员和车辆进出通道及其他需要由保安负责的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采购方式：竞争性磋商采购</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中标（成交）信息</w:t>
      </w:r>
    </w:p>
    <w:tbl>
      <w:tblPr>
        <w:tblStyle w:val="6"/>
        <w:tblW w:w="1001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64"/>
        <w:gridCol w:w="1506"/>
        <w:gridCol w:w="2520"/>
        <w:gridCol w:w="2188"/>
        <w:gridCol w:w="3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764" w:type="dxa"/>
            <w:tcBorders>
              <w:top w:val="single" w:color="auto" w:sz="4" w:space="0"/>
              <w:left w:val="single" w:color="auto" w:sz="4" w:space="0"/>
              <w:bottom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1506" w:type="dxa"/>
            <w:tcBorders>
              <w:top w:val="single" w:color="auto" w:sz="4" w:space="0"/>
              <w:left w:val="outset" w:color="auto" w:sz="6" w:space="0"/>
              <w:bottom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成交供应商</w:t>
            </w:r>
          </w:p>
        </w:tc>
        <w:tc>
          <w:tcPr>
            <w:tcW w:w="2520" w:type="dxa"/>
            <w:tcBorders>
              <w:top w:val="single" w:color="auto" w:sz="4" w:space="0"/>
              <w:left w:val="outset" w:color="auto" w:sz="6" w:space="0"/>
              <w:bottom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成交供应商地址</w:t>
            </w:r>
          </w:p>
        </w:tc>
        <w:tc>
          <w:tcPr>
            <w:tcW w:w="2188" w:type="dxa"/>
            <w:tcBorders>
              <w:top w:val="single" w:color="auto" w:sz="4" w:space="0"/>
              <w:left w:val="outset" w:color="auto" w:sz="6" w:space="0"/>
              <w:bottom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主要成交内容</w:t>
            </w:r>
          </w:p>
        </w:tc>
        <w:tc>
          <w:tcPr>
            <w:tcW w:w="3032" w:type="dxa"/>
            <w:tcBorders>
              <w:top w:val="single" w:color="auto" w:sz="4" w:space="0"/>
              <w:left w:val="outset" w:color="auto" w:sz="6" w:space="0"/>
              <w:bottom w:val="outset" w:color="auto" w:sz="6" w:space="0"/>
              <w:right w:val="single" w:color="auto" w:sz="4"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成交单价</w:t>
            </w:r>
          </w:p>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元/人/月</w:t>
            </w:r>
            <w:r>
              <w:rPr>
                <w:rFonts w:hint="eastAsia" w:ascii="仿宋_GB2312" w:hAnsi="仿宋_GB2312" w:eastAsia="仿宋_GB2312" w:cs="仿宋_GB2312"/>
                <w:color w:val="00000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0" w:hRule="atLeast"/>
          <w:jc w:val="center"/>
        </w:trPr>
        <w:tc>
          <w:tcPr>
            <w:tcW w:w="764" w:type="dxa"/>
            <w:vMerge w:val="restart"/>
            <w:tcBorders>
              <w:top w:val="outset" w:color="auto" w:sz="6" w:space="0"/>
              <w:left w:val="single" w:color="auto" w:sz="4" w:space="0"/>
              <w:right w:val="outset" w:color="auto" w:sz="6" w:space="0"/>
            </w:tcBorders>
            <w:vAlign w:val="center"/>
          </w:tcPr>
          <w:p>
            <w:pPr>
              <w:widowControl w:val="0"/>
              <w:wordWrap/>
              <w:adjustRightInd/>
              <w:snapToGrid/>
              <w:spacing w:before="0" w:after="0" w:line="600" w:lineRule="exact"/>
              <w:ind w:left="0" w:leftChars="0" w:right="0" w:firstLine="240" w:firstLineChars="100"/>
              <w:textAlignment w:val="auto"/>
              <w:outlineLvl w:val="9"/>
              <w:rPr>
                <w:rFonts w:hint="eastAsia" w:ascii="仿宋_GB2312" w:hAnsi="仿宋_GB2312" w:eastAsia="仿宋_GB2312" w:cs="仿宋_GB2312"/>
                <w:color w:val="000000"/>
                <w:sz w:val="24"/>
                <w:szCs w:val="24"/>
              </w:rPr>
            </w:pPr>
            <w:r>
              <w:rPr>
                <w:rFonts w:hint="default" w:ascii="Times New Roman" w:hAnsi="Times New Roman" w:eastAsia="仿宋_GB2312" w:cs="Times New Roman"/>
                <w:color w:val="000000"/>
                <w:sz w:val="24"/>
                <w:szCs w:val="24"/>
              </w:rPr>
              <w:t>1</w:t>
            </w:r>
          </w:p>
        </w:tc>
        <w:tc>
          <w:tcPr>
            <w:tcW w:w="1506" w:type="dxa"/>
            <w:tcBorders>
              <w:top w:val="outset" w:color="auto" w:sz="6" w:space="0"/>
              <w:left w:val="outset" w:color="auto" w:sz="6" w:space="0"/>
              <w:bottom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联合体牵头单位：贵州信昌融合实业发展有限公司</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贵州省贵阳市观山湖区林城路贵阳国际金融中心一期商务区项目</w:t>
            </w:r>
            <w:r>
              <w:rPr>
                <w:rFonts w:hint="default" w:ascii="Times New Roman" w:hAnsi="Times New Roman" w:eastAsia="仿宋_GB2312" w:cs="Times New Roman"/>
                <w:color w:val="000000"/>
                <w:sz w:val="24"/>
                <w:szCs w:val="24"/>
                <w:lang w:val="en-US" w:eastAsia="zh-CN"/>
              </w:rPr>
              <w:t>8</w:t>
            </w:r>
            <w:r>
              <w:rPr>
                <w:rFonts w:hint="eastAsia" w:ascii="仿宋_GB2312" w:hAnsi="仿宋_GB2312" w:eastAsia="仿宋_GB2312" w:cs="仿宋_GB2312"/>
                <w:color w:val="000000"/>
                <w:sz w:val="24"/>
                <w:szCs w:val="24"/>
                <w:lang w:val="en-US" w:eastAsia="zh-CN"/>
              </w:rPr>
              <w:t>号楼</w:t>
            </w:r>
            <w:r>
              <w:rPr>
                <w:rFonts w:hint="default" w:ascii="Times New Roman" w:hAnsi="Times New Roman" w:eastAsia="仿宋_GB2312" w:cs="Times New Roman"/>
                <w:color w:val="000000"/>
                <w:sz w:val="24"/>
                <w:szCs w:val="24"/>
                <w:lang w:val="en-US" w:eastAsia="zh-CN"/>
              </w:rPr>
              <w:t>13</w:t>
            </w:r>
            <w:r>
              <w:rPr>
                <w:rFonts w:hint="eastAsia" w:ascii="仿宋_GB2312" w:hAnsi="仿宋_GB2312" w:eastAsia="仿宋_GB2312" w:cs="仿宋_GB2312"/>
                <w:color w:val="000000"/>
                <w:sz w:val="24"/>
                <w:szCs w:val="24"/>
                <w:lang w:val="en-US" w:eastAsia="zh-CN"/>
              </w:rPr>
              <w:t>层</w:t>
            </w:r>
            <w:r>
              <w:rPr>
                <w:rFonts w:hint="default" w:ascii="Times New Roman" w:hAnsi="Times New Roman" w:eastAsia="仿宋_GB2312" w:cs="Times New Roman"/>
                <w:color w:val="000000"/>
                <w:sz w:val="24"/>
                <w:szCs w:val="24"/>
                <w:lang w:val="en-US" w:eastAsia="zh-CN"/>
              </w:rPr>
              <w:t>1</w:t>
            </w:r>
            <w:r>
              <w:rPr>
                <w:rFonts w:hint="eastAsia" w:ascii="仿宋_GB2312" w:hAnsi="仿宋_GB2312" w:eastAsia="仿宋_GB2312" w:cs="仿宋_GB2312"/>
                <w:color w:val="000000"/>
                <w:sz w:val="24"/>
                <w:szCs w:val="24"/>
                <w:lang w:val="en-US" w:eastAsia="zh-CN"/>
              </w:rPr>
              <w:t>号</w:t>
            </w:r>
          </w:p>
        </w:tc>
        <w:tc>
          <w:tcPr>
            <w:tcW w:w="2188" w:type="dxa"/>
            <w:vMerge w:val="restart"/>
            <w:tcBorders>
              <w:top w:val="outset" w:color="auto" w:sz="6" w:space="0"/>
              <w:left w:val="outset" w:color="auto" w:sz="6"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清镇农商银行</w:t>
            </w:r>
            <w:r>
              <w:rPr>
                <w:rFonts w:hint="default" w:ascii="Times New Roman" w:hAnsi="Times New Roman" w:eastAsia="仿宋_GB2312" w:cs="Times New Roman"/>
                <w:color w:val="000000"/>
                <w:sz w:val="24"/>
                <w:szCs w:val="24"/>
                <w:lang w:val="en-US" w:eastAsia="zh-CN"/>
              </w:rPr>
              <w:t>2026</w:t>
            </w:r>
            <w:r>
              <w:rPr>
                <w:rFonts w:hint="eastAsia" w:ascii="仿宋_GB2312" w:hAnsi="仿宋_GB2312" w:eastAsia="仿宋_GB2312" w:cs="仿宋_GB2312"/>
                <w:color w:val="000000"/>
                <w:sz w:val="24"/>
                <w:szCs w:val="24"/>
                <w:lang w:val="en-US" w:eastAsia="zh-CN"/>
              </w:rPr>
              <w:t>年全辖安保人员服务采购项目</w:t>
            </w:r>
          </w:p>
        </w:tc>
        <w:tc>
          <w:tcPr>
            <w:tcW w:w="3032" w:type="dxa"/>
            <w:vMerge w:val="restart"/>
            <w:tcBorders>
              <w:top w:val="outset" w:color="auto" w:sz="6" w:space="0"/>
              <w:left w:val="outset" w:color="auto" w:sz="6" w:space="0"/>
              <w:right w:val="single" w:color="auto" w:sz="4"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r>
              <w:rPr>
                <w:rFonts w:hint="default" w:ascii="Times New Roman" w:hAnsi="Times New Roman" w:eastAsia="仿宋_GB2312" w:cs="Times New Roman"/>
                <w:color w:val="000000"/>
                <w:sz w:val="24"/>
                <w:szCs w:val="24"/>
                <w:lang w:val="en-US" w:eastAsia="zh-CN"/>
              </w:rPr>
              <w:t>3242</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04</w:t>
            </w:r>
            <w:r>
              <w:rPr>
                <w:rFonts w:hint="eastAsia" w:ascii="仿宋_GB2312" w:hAnsi="仿宋_GB2312" w:eastAsia="仿宋_GB2312" w:cs="仿宋_GB2312"/>
                <w:color w:val="000000"/>
                <w:sz w:val="24"/>
                <w:szCs w:val="24"/>
                <w:lang w:val="en-US" w:eastAsia="zh-CN"/>
              </w:rPr>
              <w:t>（大写：叁仟贰佰肆拾贰元零肆分）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6" w:hRule="atLeast"/>
          <w:jc w:val="center"/>
        </w:trPr>
        <w:tc>
          <w:tcPr>
            <w:tcW w:w="764" w:type="dxa"/>
            <w:vMerge w:val="continue"/>
            <w:tcBorders>
              <w:left w:val="single" w:color="auto" w:sz="4" w:space="0"/>
              <w:bottom w:val="single" w:color="auto" w:sz="4" w:space="0"/>
              <w:right w:val="outset" w:color="auto" w:sz="6" w:space="0"/>
            </w:tcBorders>
            <w:vAlign w:val="center"/>
          </w:tcPr>
          <w:p>
            <w:pPr>
              <w:widowControl w:val="0"/>
              <w:wordWrap/>
              <w:adjustRightInd/>
              <w:snapToGrid/>
              <w:spacing w:before="0" w:after="0" w:line="600" w:lineRule="exact"/>
              <w:ind w:left="0" w:leftChars="0" w:right="0" w:firstLine="240" w:firstLineChars="100"/>
              <w:textAlignment w:val="auto"/>
              <w:outlineLvl w:val="9"/>
              <w:rPr>
                <w:rFonts w:hint="default" w:ascii="Times New Roman" w:hAnsi="Times New Roman" w:eastAsia="仿宋_GB2312" w:cs="Times New Roman"/>
                <w:color w:val="000000"/>
                <w:sz w:val="24"/>
                <w:szCs w:val="24"/>
              </w:rPr>
            </w:pPr>
          </w:p>
        </w:tc>
        <w:tc>
          <w:tcPr>
            <w:tcW w:w="1506" w:type="dxa"/>
            <w:tcBorders>
              <w:top w:val="outset" w:color="auto" w:sz="6" w:space="0"/>
              <w:left w:val="outset" w:color="auto" w:sz="6" w:space="0"/>
              <w:bottom w:val="single" w:color="auto" w:sz="4"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联合体成员单位：贵州联盾安防技术服务有限公司</w:t>
            </w:r>
          </w:p>
        </w:tc>
        <w:tc>
          <w:tcPr>
            <w:tcW w:w="2520" w:type="dxa"/>
            <w:tcBorders>
              <w:top w:val="outset" w:color="auto" w:sz="6" w:space="0"/>
              <w:left w:val="outset" w:color="auto" w:sz="6" w:space="0"/>
              <w:bottom w:val="single" w:color="auto" w:sz="4"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贵州省贵阳市云岩区毓秀街道中华北路贵银大厦</w:t>
            </w:r>
            <w:r>
              <w:rPr>
                <w:rFonts w:hint="default" w:ascii="Times New Roman" w:hAnsi="Times New Roman" w:eastAsia="仿宋_GB2312" w:cs="Times New Roman"/>
                <w:color w:val="000000"/>
                <w:sz w:val="24"/>
                <w:szCs w:val="24"/>
                <w:lang w:val="en-US" w:eastAsia="zh-CN"/>
              </w:rPr>
              <w:t>1</w:t>
            </w:r>
            <w:r>
              <w:rPr>
                <w:rFonts w:hint="eastAsia" w:ascii="仿宋_GB2312" w:hAnsi="仿宋_GB2312" w:eastAsia="仿宋_GB2312" w:cs="仿宋_GB2312"/>
                <w:color w:val="000000"/>
                <w:sz w:val="24"/>
                <w:szCs w:val="24"/>
                <w:lang w:val="en-US" w:eastAsia="zh-CN"/>
              </w:rPr>
              <w:t>幢</w:t>
            </w:r>
            <w:r>
              <w:rPr>
                <w:rFonts w:hint="default" w:ascii="Times New Roman" w:hAnsi="Times New Roman" w:eastAsia="仿宋_GB2312" w:cs="Times New Roman"/>
                <w:color w:val="000000"/>
                <w:sz w:val="24"/>
                <w:szCs w:val="24"/>
                <w:lang w:val="en-US" w:eastAsia="zh-CN"/>
              </w:rPr>
              <w:t>1</w:t>
            </w:r>
            <w:r>
              <w:rPr>
                <w:rFonts w:hint="eastAsia" w:ascii="仿宋_GB2312" w:hAnsi="仿宋_GB2312" w:eastAsia="仿宋_GB2312" w:cs="仿宋_GB2312"/>
                <w:color w:val="000000"/>
                <w:sz w:val="24"/>
                <w:szCs w:val="24"/>
                <w:lang w:val="en-US" w:eastAsia="zh-CN"/>
              </w:rPr>
              <w:t>单元</w:t>
            </w:r>
            <w:r>
              <w:rPr>
                <w:rFonts w:hint="default" w:ascii="Times New Roman" w:hAnsi="Times New Roman" w:eastAsia="仿宋_GB2312" w:cs="Times New Roman"/>
                <w:color w:val="000000"/>
                <w:sz w:val="24"/>
                <w:szCs w:val="24"/>
                <w:lang w:val="en-US" w:eastAsia="zh-CN"/>
              </w:rPr>
              <w:t>4</w:t>
            </w:r>
            <w:r>
              <w:rPr>
                <w:rFonts w:hint="eastAsia" w:ascii="仿宋_GB2312" w:hAnsi="仿宋_GB2312" w:eastAsia="仿宋_GB2312" w:cs="仿宋_GB2312"/>
                <w:color w:val="000000"/>
                <w:sz w:val="24"/>
                <w:szCs w:val="24"/>
                <w:lang w:val="en-US" w:eastAsia="zh-CN"/>
              </w:rPr>
              <w:t>层</w:t>
            </w:r>
            <w:r>
              <w:rPr>
                <w:rFonts w:hint="default" w:ascii="Times New Roman" w:hAnsi="Times New Roman" w:eastAsia="仿宋_GB2312" w:cs="Times New Roman"/>
                <w:color w:val="000000"/>
                <w:sz w:val="24"/>
                <w:szCs w:val="24"/>
                <w:lang w:val="en-US" w:eastAsia="zh-CN"/>
              </w:rPr>
              <w:t>7</w:t>
            </w:r>
            <w:r>
              <w:rPr>
                <w:rFonts w:hint="eastAsia" w:ascii="仿宋_GB2312" w:hAnsi="仿宋_GB2312" w:eastAsia="仿宋_GB2312" w:cs="仿宋_GB2312"/>
                <w:color w:val="000000"/>
                <w:sz w:val="24"/>
                <w:szCs w:val="24"/>
                <w:lang w:val="en-US" w:eastAsia="zh-CN"/>
              </w:rPr>
              <w:t>号</w:t>
            </w:r>
          </w:p>
        </w:tc>
        <w:tc>
          <w:tcPr>
            <w:tcW w:w="2188" w:type="dxa"/>
            <w:vMerge w:val="continue"/>
            <w:tcBorders>
              <w:left w:val="outset" w:color="auto" w:sz="6" w:space="0"/>
              <w:bottom w:val="single" w:color="auto" w:sz="4" w:space="0"/>
              <w:right w:val="outset" w:color="auto" w:sz="6"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lang w:val="en-US" w:eastAsia="zh-CN"/>
              </w:rPr>
            </w:pPr>
          </w:p>
        </w:tc>
        <w:tc>
          <w:tcPr>
            <w:tcW w:w="3032" w:type="dxa"/>
            <w:vMerge w:val="continue"/>
            <w:tcBorders>
              <w:left w:val="outset" w:color="auto" w:sz="6" w:space="0"/>
              <w:bottom w:val="single" w:color="auto" w:sz="4" w:space="0"/>
              <w:right w:val="single" w:color="auto" w:sz="4" w:space="0"/>
            </w:tcBorders>
            <w:vAlign w:val="center"/>
          </w:tcPr>
          <w:p>
            <w:pPr>
              <w:widowControl w:val="0"/>
              <w:wordWrap/>
              <w:adjustRightInd/>
              <w:snapToGrid/>
              <w:spacing w:before="0" w:after="0" w:line="600" w:lineRule="exact"/>
              <w:ind w:left="0" w:leftChars="0" w:right="0"/>
              <w:jc w:val="center"/>
              <w:textAlignment w:val="auto"/>
              <w:outlineLvl w:val="9"/>
              <w:rPr>
                <w:rFonts w:hint="eastAsia" w:ascii="仿宋_GB2312" w:hAnsi="仿宋_GB2312" w:eastAsia="仿宋_GB2312" w:cs="仿宋_GB2312"/>
                <w:color w:val="00000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三、公告期限</w:t>
      </w:r>
    </w:p>
    <w:p>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outlineLvl w:val="9"/>
        <w:rPr>
          <w:rFonts w:hint="default" w:ascii="微软雅黑" w:hAnsi="微软雅黑" w:eastAsia="仿宋_GB2312" w:cs="微软雅黑"/>
          <w:i w:val="0"/>
          <w:iCs w:val="0"/>
          <w:caps w:val="0"/>
          <w:color w:val="333333"/>
          <w:spacing w:val="0"/>
          <w:sz w:val="21"/>
          <w:szCs w:val="21"/>
          <w:lang w:val="en-US" w:eastAsia="zh-CN"/>
        </w:rPr>
      </w:pPr>
      <w:r>
        <w:rPr>
          <w:rFonts w:hint="eastAsia" w:ascii="仿宋" w:hAnsi="仿宋" w:eastAsia="仿宋" w:cs="仿宋"/>
          <w:i w:val="0"/>
          <w:iCs w:val="0"/>
          <w:caps w:val="0"/>
          <w:color w:val="333333"/>
          <w:spacing w:val="0"/>
          <w:sz w:val="24"/>
          <w:szCs w:val="24"/>
          <w:shd w:val="clear" w:color="080000" w:fill="FFFFFF"/>
          <w:lang w:val="en-US" w:eastAsia="zh-CN"/>
        </w:rPr>
        <w:t xml:space="preserve">  </w:t>
      </w:r>
      <w:r>
        <w:rPr>
          <w:rFonts w:hint="eastAsia" w:ascii="仿宋_GB2312" w:hAnsi="仿宋_GB2312" w:eastAsia="仿宋_GB2312" w:cs="仿宋_GB2312"/>
          <w:i w:val="0"/>
          <w:iCs w:val="0"/>
          <w:caps w:val="0"/>
          <w:color w:val="auto"/>
          <w:spacing w:val="0"/>
          <w:sz w:val="24"/>
          <w:szCs w:val="24"/>
          <w:shd w:val="clear" w:color="080000"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公示期三个工作日，即</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2025</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年</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12</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月</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6</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日至</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2025</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年</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12</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月</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10</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日</w:t>
      </w:r>
      <w:r>
        <w:rPr>
          <w:rFonts w:hint="eastAsia" w:ascii="仿宋_GB2312" w:hAnsi="仿宋_GB2312" w:eastAsia="仿宋_GB2312" w:cs="仿宋_GB2312"/>
          <w:i w:val="0"/>
          <w:iCs w:val="0"/>
          <w:caps w:val="0"/>
          <w:color w:val="auto"/>
          <w:spacing w:val="0"/>
          <w:sz w:val="32"/>
          <w:szCs w:val="32"/>
          <w:shd w:val="clear" w:color="080000" w:fill="FFFFFF"/>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投标人及当事人对评标结果有异议的，在公示发布之日起</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3</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个工作日内，以书面形式向贵州清镇农村商业银行股份有限公司提出质疑，逾期将不再受理。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四、</w:t>
      </w:r>
      <w:r>
        <w:rPr>
          <w:rFonts w:hint="eastAsia" w:ascii="黑体" w:hAnsi="黑体" w:eastAsia="黑体" w:cs="黑体"/>
          <w:sz w:val="32"/>
          <w:szCs w:val="32"/>
        </w:rPr>
        <w:t>其他补充事宜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采购日期：</w:t>
      </w:r>
      <w:r>
        <w:rPr>
          <w:rFonts w:hint="default" w:ascii="Times New Roman" w:hAnsi="Times New Roman" w:eastAsia="仿宋_GB2312" w:cs="Times New Roman"/>
          <w:color w:val="000000"/>
          <w:sz w:val="32"/>
          <w:szCs w:val="32"/>
          <w:lang w:val="en-US" w:eastAsia="zh-CN"/>
        </w:rPr>
        <w:t>2025</w:t>
      </w:r>
      <w:r>
        <w:rPr>
          <w:rFonts w:hint="eastAsia" w:ascii="Times New Roman" w:hAnsi="Times New Roman" w:eastAsia="仿宋_GB2312" w:cs="Times New Roman"/>
          <w:color w:val="000000"/>
          <w:sz w:val="32"/>
          <w:szCs w:val="32"/>
          <w:lang w:val="en-US" w:eastAsia="zh-CN"/>
        </w:rPr>
        <w:t>年</w:t>
      </w:r>
      <w:r>
        <w:rPr>
          <w:rFonts w:hint="default" w:ascii="Times New Roman" w:hAnsi="Times New Roman" w:eastAsia="仿宋_GB2312" w:cs="Times New Roman"/>
          <w:color w:val="000000"/>
          <w:sz w:val="32"/>
          <w:szCs w:val="32"/>
          <w:lang w:val="en-US" w:eastAsia="zh-CN"/>
        </w:rPr>
        <w:t>11</w:t>
      </w:r>
      <w:r>
        <w:rPr>
          <w:rFonts w:hint="eastAsia"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lang w:val="en-US" w:eastAsia="zh-CN"/>
        </w:rPr>
        <w:t>19</w:t>
      </w:r>
      <w:r>
        <w:rPr>
          <w:rFonts w:hint="eastAsia" w:ascii="Times New Roman" w:hAnsi="Times New Roman" w:eastAsia="仿宋_GB2312" w:cs="Times New Roman"/>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评审日期：</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default" w:ascii="Times New Roman" w:hAnsi="Times New Roman" w:eastAsia="仿宋_GB2312" w:cs="Times New Roman"/>
          <w:color w:val="000000"/>
          <w:sz w:val="32"/>
          <w:szCs w:val="32"/>
          <w:lang w:val="en-US" w:eastAsia="zh-CN"/>
        </w:rPr>
        <w:t>12</w:t>
      </w:r>
      <w:r>
        <w:rPr>
          <w:rFonts w:hint="eastAsia" w:ascii="仿宋_GB2312" w:hAnsi="仿宋_GB2312" w:eastAsia="仿宋_GB2312" w:cs="仿宋_GB2312"/>
          <w:color w:val="000000"/>
          <w:sz w:val="32"/>
          <w:szCs w:val="32"/>
          <w:lang w:val="en-US" w:eastAsia="zh-CN"/>
        </w:rPr>
        <w:t>月</w:t>
      </w: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rPr>
        <w:t>定标日期：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年</w:t>
      </w:r>
      <w:r>
        <w:rPr>
          <w:rFonts w:hint="default" w:ascii="Times New Roman" w:hAnsi="Times New Roman" w:eastAsia="仿宋_GB2312" w:cs="Times New Roman"/>
          <w:color w:val="000000"/>
          <w:sz w:val="32"/>
          <w:szCs w:val="32"/>
          <w:lang w:val="en-US" w:eastAsia="zh-CN"/>
        </w:rPr>
        <w:t>12</w:t>
      </w:r>
      <w:r>
        <w:rPr>
          <w:rFonts w:hint="eastAsia"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评审地点：</w:t>
      </w:r>
      <w:r>
        <w:rPr>
          <w:rFonts w:hint="eastAsia" w:ascii="仿宋_GB2312" w:hAnsi="仿宋_GB2312" w:eastAsia="仿宋_GB2312" w:cs="仿宋_GB2312"/>
          <w:color w:val="000000"/>
          <w:sz w:val="32"/>
          <w:szCs w:val="32"/>
          <w:lang w:val="en-US" w:eastAsia="zh-CN"/>
        </w:rPr>
        <w:t>清镇农商银行二楼会议室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aidu.com/link?url=34hVpt5m2_WIpa_GYHcL7AqujKOUu04hiDThB9NMS3yZ-NCauQvb7Icx5gO32UUIZFRW5JBTWq6Gugs_SPn9T0mJsd0lYgsUkZhpFS3kYSCSebOqKkKVXGxxkSw5NDRwV7v1nygyYc8u7vs0L52JDubyaSbDUjlhM__eSOb_9SlJc2q5mlM_nMM_vYIDbHaLshcm4cqJrE13Ynqc_ZJr234WlhjRhDLrKa4THb-7Nk7ottSc_gZpk1VHqRCehulrO2_3t12cW2eNvfL-A9_w95-kgddqHmrP2MxyC6AyfPgZ_lzNi7k1ijGkl3S3CdSLMW9ICNwdnFEIMRa2L9cxzK" \t "https://www.baidu.com/_blank"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贵州清镇农村商业银行股份有限公司</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lang w:eastAsia="zh-CN"/>
        </w:rPr>
        <w:t>贵州省贵阳市清镇市青龙街道办事处云岭东路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集采办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联系电话：</w:t>
      </w:r>
      <w:r>
        <w:rPr>
          <w:rFonts w:hint="default" w:ascii="Times New Roman" w:hAnsi="Times New Roman" w:eastAsia="仿宋_GB2312" w:cs="Times New Roman"/>
          <w:sz w:val="32"/>
          <w:szCs w:val="32"/>
          <w:lang w:val="en-US" w:eastAsia="zh-CN"/>
        </w:rPr>
        <w:t>0851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82600367</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日</w:t>
      </w:r>
    </w:p>
    <w:p>
      <w:pPr>
        <w:jc w:val="both"/>
        <w:outlineLvl w:val="9"/>
        <w:rPr>
          <w:rStyle w:val="8"/>
          <w:rFonts w:hint="default" w:ascii="Times New Roman" w:hAnsi="Times New Roman" w:eastAsia="仿宋" w:cs="Times New Roman"/>
          <w:b w:val="0"/>
          <w:bCs w:val="0"/>
          <w:i w:val="0"/>
          <w:iCs w:val="0"/>
          <w:caps w:val="0"/>
          <w:color w:val="000000"/>
          <w:spacing w:val="0"/>
          <w:kern w:val="0"/>
          <w:sz w:val="32"/>
          <w:szCs w:val="32"/>
          <w:u w:val="none"/>
          <w:shd w:val="clear" w:color="0C0000" w:fill="FFFFFF"/>
          <w:lang w:val="en-US"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w:pict>
        <v:shape id="文本框1"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0104CA"/>
    <w:rsid w:val="0C0F30B1"/>
    <w:rsid w:val="0D5002A5"/>
    <w:rsid w:val="264A4EB0"/>
    <w:rsid w:val="27774A29"/>
    <w:rsid w:val="2E570851"/>
    <w:rsid w:val="2E907496"/>
    <w:rsid w:val="310754D2"/>
    <w:rsid w:val="347B3348"/>
    <w:rsid w:val="42E8000D"/>
    <w:rsid w:val="50D61790"/>
    <w:rsid w:val="52772DB3"/>
    <w:rsid w:val="58E857FA"/>
    <w:rsid w:val="5A610824"/>
    <w:rsid w:val="5C493C61"/>
    <w:rsid w:val="7AE025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0" w:beforeAutospacing="0" w:after="0" w:afterAutospacing="0" w:line="300" w:lineRule="exact"/>
    </w:pPr>
    <w:rPr>
      <w:rFonts w:ascii="宋体" w:hAnsi="宋体" w:cs="宋体"/>
      <w:szCs w:val="21"/>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rFonts w:ascii="Calibri" w:hAnsi="Calibri" w:eastAsia="宋体" w:cs="黑体"/>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Strong"/>
    <w:basedOn w:val="7"/>
    <w:qFormat/>
    <w:uiPriority w:val="0"/>
    <w:rPr>
      <w:rFonts w:eastAsia="黑体"/>
      <w:bCs/>
    </w:rPr>
  </w:style>
  <w:style w:type="paragraph" w:customStyle="1" w:styleId="9">
    <w:name w:val="Normal Indent"/>
    <w:basedOn w:val="1"/>
    <w:qFormat/>
    <w:uiPriority w:val="0"/>
    <w:pPr>
      <w:ind w:firstLine="420"/>
    </w:pPr>
  </w:style>
  <w:style w:type="paragraph" w:customStyle="1" w:styleId="10">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
    <w:name w:val="table of authorities"/>
    <w:basedOn w:val="1"/>
    <w:next w:val="1"/>
    <w:qFormat/>
    <w:uiPriority w:val="0"/>
    <w:pPr>
      <w:ind w:left="420" w:leftChars="200"/>
    </w:pPr>
  </w:style>
  <w:style w:type="paragraph" w:customStyle="1" w:styleId="12">
    <w:name w:val="zw"/>
    <w:basedOn w:val="1"/>
    <w:qFormat/>
    <w:uiPriority w:val="0"/>
    <w:pPr>
      <w:ind w:firstLine="560"/>
    </w:pPr>
    <w:rPr>
      <w:rFonts w:ascii="仿宋_GB2312" w:hAnsi="Calibri"/>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2023-09-25T02:16:00Z</dcterms:created>
  <dc:creator>蒲俊金</dc:creator>
  <cp:lastModifiedBy>106623-董婧玮</cp:lastModifiedBy>
  <cp:lastPrinted>2025-12-05T02:28:29Z</cp:lastPrinted>
  <dcterms:modified xsi:type="dcterms:W3CDTF">2025-12-05T02:28:31Z</dcterms:modified>
  <dc:title>清镇农商银行智慧柜员机（STM）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5A91EE2C68CF4732AC6918D9130D27E0_13</vt:lpwstr>
  </property>
</Properties>
</file>